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0951F053"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0266D7">
        <w:rPr>
          <w:rFonts w:ascii="Arial" w:hAnsi="Arial" w:cs="Arial"/>
          <w:szCs w:val="24"/>
        </w:rPr>
        <w:t>24</w:t>
      </w:r>
    </w:p>
    <w:p w14:paraId="0F17CC7D" w14:textId="77777777" w:rsidR="000266D7" w:rsidRDefault="000266D7" w:rsidP="005A7C24">
      <w:pPr>
        <w:rPr>
          <w:rFonts w:ascii="Arial" w:hAnsi="Arial" w:cs="Arial"/>
          <w:szCs w:val="24"/>
        </w:rPr>
      </w:pPr>
    </w:p>
    <w:p w14:paraId="7EE00146" w14:textId="77777777" w:rsidR="000266D7" w:rsidRPr="000266D7" w:rsidRDefault="000266D7" w:rsidP="000266D7">
      <w:pPr>
        <w:rPr>
          <w:rFonts w:ascii="Arial" w:hAnsi="Arial" w:cs="Arial"/>
          <w:sz w:val="28"/>
          <w:szCs w:val="28"/>
        </w:rPr>
      </w:pPr>
      <w:r w:rsidRPr="000266D7">
        <w:rPr>
          <w:rFonts w:ascii="Arial" w:hAnsi="Arial" w:cs="Arial"/>
          <w:b/>
          <w:bCs/>
          <w:sz w:val="28"/>
          <w:szCs w:val="28"/>
        </w:rPr>
        <w:t>CWU T&amp;S WEEKLY BULLETIN NO 2025/18 – 18 MAY 2025</w:t>
      </w:r>
      <w:r w:rsidRPr="000266D7">
        <w:rPr>
          <w:rFonts w:ascii="Arial" w:hAnsi="Arial" w:cs="Arial"/>
          <w:sz w:val="28"/>
          <w:szCs w:val="28"/>
        </w:rPr>
        <w:br/>
      </w:r>
      <w:hyperlink r:id="rId8" w:history="1">
        <w:r w:rsidRPr="000266D7">
          <w:rPr>
            <w:rStyle w:val="Hyperlink"/>
            <w:rFonts w:ascii="Arial" w:hAnsi="Arial" w:cs="Arial"/>
            <w:b/>
            <w:bCs/>
            <w:sz w:val="28"/>
            <w:szCs w:val="28"/>
          </w:rPr>
          <w:t>CWU T&amp;S Branch cwu.asn.au</w:t>
        </w:r>
      </w:hyperlink>
      <w:r w:rsidRPr="000266D7">
        <w:rPr>
          <w:rFonts w:ascii="Arial" w:hAnsi="Arial" w:cs="Arial"/>
          <w:sz w:val="28"/>
          <w:szCs w:val="28"/>
        </w:rPr>
        <w:br/>
      </w:r>
      <w:r w:rsidRPr="000266D7">
        <w:rPr>
          <w:rFonts w:ascii="Arial" w:hAnsi="Arial" w:cs="Arial"/>
          <w:b/>
          <w:bCs/>
          <w:sz w:val="28"/>
          <w:szCs w:val="28"/>
        </w:rPr>
        <w:t>You're never alone when you're a union member</w:t>
      </w:r>
      <w:r w:rsidRPr="000266D7">
        <w:rPr>
          <w:rFonts w:ascii="Arial" w:hAnsi="Arial" w:cs="Arial"/>
          <w:sz w:val="28"/>
          <w:szCs w:val="28"/>
        </w:rPr>
        <w:br/>
      </w:r>
      <w:hyperlink r:id="rId9" w:history="1">
        <w:r w:rsidRPr="000266D7">
          <w:rPr>
            <w:rStyle w:val="Hyperlink"/>
            <w:rFonts w:ascii="Arial" w:hAnsi="Arial" w:cs="Arial"/>
            <w:b/>
            <w:bCs/>
            <w:sz w:val="28"/>
            <w:szCs w:val="28"/>
          </w:rPr>
          <w:t>Click here to join CWU TS Branch</w:t>
        </w:r>
      </w:hyperlink>
    </w:p>
    <w:p w14:paraId="05AC27F6" w14:textId="77777777" w:rsidR="000266D7" w:rsidRDefault="000266D7" w:rsidP="000266D7">
      <w:pPr>
        <w:rPr>
          <w:rFonts w:ascii="Arial" w:hAnsi="Arial" w:cs="Arial"/>
          <w:szCs w:val="24"/>
        </w:rPr>
      </w:pPr>
      <w:r w:rsidRPr="000266D7">
        <w:rPr>
          <w:rFonts w:ascii="Arial" w:hAnsi="Arial" w:cs="Arial"/>
          <w:szCs w:val="24"/>
        </w:rPr>
        <w:t> </w:t>
      </w:r>
    </w:p>
    <w:p w14:paraId="09A60BED" w14:textId="77777777" w:rsidR="000266D7" w:rsidRDefault="000266D7" w:rsidP="000266D7">
      <w:pPr>
        <w:rPr>
          <w:rFonts w:ascii="Arial" w:hAnsi="Arial" w:cs="Arial"/>
          <w:szCs w:val="24"/>
        </w:rPr>
      </w:pPr>
      <w:r w:rsidRPr="000266D7">
        <w:rPr>
          <w:rFonts w:ascii="Arial" w:hAnsi="Arial" w:cs="Arial"/>
          <w:szCs w:val="24"/>
        </w:rPr>
        <w:t xml:space="preserve"> </w:t>
      </w:r>
      <w:r w:rsidRPr="000266D7">
        <w:rPr>
          <w:rFonts w:ascii="Arial" w:hAnsi="Arial" w:cs="Arial"/>
          <w:szCs w:val="24"/>
        </w:rPr>
        <w:br/>
      </w:r>
      <w:r w:rsidRPr="000266D7">
        <w:rPr>
          <w:rFonts w:ascii="Arial" w:hAnsi="Arial" w:cs="Arial"/>
          <w:b/>
          <w:bCs/>
          <w:szCs w:val="24"/>
        </w:rPr>
        <w:t>NBN BULLYING CASE DECISION</w:t>
      </w:r>
      <w:r w:rsidRPr="000266D7">
        <w:rPr>
          <w:rFonts w:ascii="Arial" w:hAnsi="Arial" w:cs="Arial"/>
          <w:szCs w:val="24"/>
        </w:rPr>
        <w:br/>
        <w:t xml:space="preserve">In a Decision handed down this week, the FWC found that our member has been bullied at work. This followed a 3 day hearing over the past weeks. The FWC considered several remedies and decided to refer both parties to mediation </w:t>
      </w:r>
      <w:proofErr w:type="gramStart"/>
      <w:r w:rsidRPr="000266D7">
        <w:rPr>
          <w:rFonts w:ascii="Arial" w:hAnsi="Arial" w:cs="Arial"/>
          <w:szCs w:val="24"/>
        </w:rPr>
        <w:t>in an attempt to</w:t>
      </w:r>
      <w:proofErr w:type="gramEnd"/>
      <w:r w:rsidRPr="000266D7">
        <w:rPr>
          <w:rFonts w:ascii="Arial" w:hAnsi="Arial" w:cs="Arial"/>
          <w:szCs w:val="24"/>
        </w:rPr>
        <w:t xml:space="preserve"> resolve the otherwise ongoing problem. The case was run by our Branch Secretary and NBN used internal lawyers.</w:t>
      </w:r>
      <w:r w:rsidRPr="000266D7">
        <w:rPr>
          <w:rFonts w:ascii="Arial" w:hAnsi="Arial" w:cs="Arial"/>
          <w:szCs w:val="24"/>
        </w:rPr>
        <w:br/>
        <w:t xml:space="preserve">The full decision is publicly available on the FWC webpage at </w:t>
      </w:r>
      <w:hyperlink r:id="rId10" w:history="1">
        <w:r w:rsidRPr="000266D7">
          <w:rPr>
            <w:rStyle w:val="Hyperlink"/>
            <w:rFonts w:ascii="Arial" w:hAnsi="Arial" w:cs="Arial"/>
            <w:szCs w:val="24"/>
          </w:rPr>
          <w:t>Application by Mr Adam Camilleri - [2025] FWC 1349 | Fair Work Commission</w:t>
        </w:r>
      </w:hyperlink>
      <w:r w:rsidRPr="000266D7">
        <w:rPr>
          <w:rFonts w:ascii="Arial" w:hAnsi="Arial" w:cs="Arial"/>
          <w:szCs w:val="24"/>
        </w:rPr>
        <w:t>. More next week.</w:t>
      </w:r>
      <w:r w:rsidRPr="000266D7">
        <w:rPr>
          <w:rFonts w:ascii="Arial" w:hAnsi="Arial" w:cs="Arial"/>
          <w:szCs w:val="24"/>
        </w:rPr>
        <w:br/>
        <w:t> </w:t>
      </w:r>
    </w:p>
    <w:p w14:paraId="04765E3F" w14:textId="77777777" w:rsidR="000266D7" w:rsidRDefault="000266D7" w:rsidP="000266D7">
      <w:pPr>
        <w:rPr>
          <w:rFonts w:ascii="Arial" w:hAnsi="Arial" w:cs="Arial"/>
          <w:szCs w:val="24"/>
        </w:rPr>
      </w:pPr>
      <w:r w:rsidRPr="000266D7">
        <w:rPr>
          <w:rFonts w:ascii="Arial" w:hAnsi="Arial" w:cs="Arial"/>
          <w:szCs w:val="24"/>
        </w:rPr>
        <w:br/>
      </w:r>
      <w:r w:rsidRPr="000266D7">
        <w:rPr>
          <w:rFonts w:ascii="Arial" w:hAnsi="Arial" w:cs="Arial"/>
          <w:b/>
          <w:bCs/>
          <w:szCs w:val="24"/>
        </w:rPr>
        <w:t>NBN BULLYING – KEY FINDING</w:t>
      </w:r>
      <w:r w:rsidRPr="000266D7">
        <w:rPr>
          <w:rFonts w:ascii="Arial" w:hAnsi="Arial" w:cs="Arial"/>
          <w:szCs w:val="24"/>
        </w:rPr>
        <w:br/>
        <w:t xml:space="preserve">We will highlight several important issues below and next week. Extract from Decision: </w:t>
      </w:r>
      <w:r w:rsidRPr="000266D7">
        <w:rPr>
          <w:rFonts w:ascii="Arial" w:hAnsi="Arial" w:cs="Arial"/>
          <w:i/>
          <w:iCs/>
          <w:szCs w:val="24"/>
        </w:rPr>
        <w:t>[69] I am satisfied that Mr Fitzpatrick has repeatedly behaved unreasonably towards Mr Camilleri while at work and that Mr Fitzpatrick’s behaviour has created a risk to Mr Camilleri’s health and safety. I am satisfied Mr Camilleri has been “bullied at work” by Mr Fitzpatrick within the meaning of s.789</w:t>
      </w:r>
      <w:proofErr w:type="gramStart"/>
      <w:r w:rsidRPr="000266D7">
        <w:rPr>
          <w:rFonts w:ascii="Arial" w:hAnsi="Arial" w:cs="Arial"/>
          <w:i/>
          <w:iCs/>
          <w:szCs w:val="24"/>
        </w:rPr>
        <w:t>FD(</w:t>
      </w:r>
      <w:proofErr w:type="gramEnd"/>
      <w:r w:rsidRPr="000266D7">
        <w:rPr>
          <w:rFonts w:ascii="Arial" w:hAnsi="Arial" w:cs="Arial"/>
          <w:i/>
          <w:iCs/>
          <w:szCs w:val="24"/>
        </w:rPr>
        <w:t xml:space="preserve">1) of the FW Act. </w:t>
      </w:r>
      <w:r w:rsidRPr="000266D7">
        <w:rPr>
          <w:rFonts w:ascii="Arial" w:hAnsi="Arial" w:cs="Arial"/>
          <w:szCs w:val="24"/>
        </w:rPr>
        <w:t xml:space="preserve">   </w:t>
      </w:r>
      <w:hyperlink r:id="rId11" w:history="1">
        <w:r w:rsidRPr="000266D7">
          <w:rPr>
            <w:rStyle w:val="Hyperlink"/>
            <w:rFonts w:ascii="Arial" w:hAnsi="Arial" w:cs="Arial"/>
            <w:szCs w:val="24"/>
          </w:rPr>
          <w:t xml:space="preserve"> </w:t>
        </w:r>
        <w:r w:rsidRPr="000266D7">
          <w:rPr>
            <w:rStyle w:val="Hyperlink"/>
            <w:rFonts w:ascii="Arial" w:hAnsi="Arial" w:cs="Arial"/>
            <w:b/>
            <w:bCs/>
            <w:szCs w:val="24"/>
          </w:rPr>
          <w:t xml:space="preserve">      More</w:t>
        </w:r>
      </w:hyperlink>
      <w:r w:rsidRPr="000266D7">
        <w:rPr>
          <w:rFonts w:ascii="Arial" w:hAnsi="Arial" w:cs="Arial"/>
          <w:szCs w:val="24"/>
        </w:rPr>
        <w:br/>
      </w:r>
    </w:p>
    <w:p w14:paraId="43EA4B67" w14:textId="77777777" w:rsidR="000266D7" w:rsidRDefault="000266D7" w:rsidP="000266D7">
      <w:pPr>
        <w:rPr>
          <w:rFonts w:ascii="Arial" w:hAnsi="Arial" w:cs="Arial"/>
          <w:szCs w:val="24"/>
        </w:rPr>
      </w:pPr>
      <w:r w:rsidRPr="000266D7">
        <w:rPr>
          <w:rFonts w:ascii="Arial" w:hAnsi="Arial" w:cs="Arial"/>
          <w:szCs w:val="24"/>
        </w:rPr>
        <w:t xml:space="preserve">  </w:t>
      </w:r>
      <w:r w:rsidRPr="000266D7">
        <w:rPr>
          <w:rFonts w:ascii="Arial" w:hAnsi="Arial" w:cs="Arial"/>
          <w:szCs w:val="24"/>
        </w:rPr>
        <w:br/>
      </w:r>
      <w:r w:rsidRPr="000266D7">
        <w:rPr>
          <w:rFonts w:ascii="Arial" w:hAnsi="Arial" w:cs="Arial"/>
          <w:b/>
          <w:bCs/>
          <w:szCs w:val="24"/>
        </w:rPr>
        <w:t>NBN BULLYING: NOT ALL MATTERS PROVED</w:t>
      </w:r>
      <w:r w:rsidRPr="000266D7">
        <w:rPr>
          <w:rFonts w:ascii="Arial" w:hAnsi="Arial" w:cs="Arial"/>
          <w:szCs w:val="24"/>
        </w:rPr>
        <w:br/>
        <w:t xml:space="preserve">We had raised </w:t>
      </w:r>
      <w:proofErr w:type="gramStart"/>
      <w:r w:rsidRPr="000266D7">
        <w:rPr>
          <w:rFonts w:ascii="Arial" w:hAnsi="Arial" w:cs="Arial"/>
          <w:szCs w:val="24"/>
        </w:rPr>
        <w:t>a number of</w:t>
      </w:r>
      <w:proofErr w:type="gramEnd"/>
      <w:r w:rsidRPr="000266D7">
        <w:rPr>
          <w:rFonts w:ascii="Arial" w:hAnsi="Arial" w:cs="Arial"/>
          <w:szCs w:val="24"/>
        </w:rPr>
        <w:t xml:space="preserve"> issues before the Commissioner. The FWC found two proven and expressed concern at other actions. </w:t>
      </w:r>
      <w:r w:rsidRPr="000266D7">
        <w:rPr>
          <w:rFonts w:ascii="Arial" w:hAnsi="Arial" w:cs="Arial"/>
          <w:i/>
          <w:iCs/>
          <w:szCs w:val="24"/>
        </w:rPr>
        <w:t xml:space="preserve">[61 The point of difference in this case is the range of issues Mr Fitzpatrick had been raising with Mr Camilleri’s conduct in mid-to-late </w:t>
      </w:r>
      <w:proofErr w:type="gramStart"/>
      <w:r w:rsidRPr="000266D7">
        <w:rPr>
          <w:rFonts w:ascii="Arial" w:hAnsi="Arial" w:cs="Arial"/>
          <w:i/>
          <w:iCs/>
          <w:szCs w:val="24"/>
        </w:rPr>
        <w:t>2024 .</w:t>
      </w:r>
      <w:proofErr w:type="gramEnd"/>
      <w:r w:rsidRPr="000266D7">
        <w:rPr>
          <w:rFonts w:ascii="Arial" w:hAnsi="Arial" w:cs="Arial"/>
          <w:i/>
          <w:iCs/>
          <w:szCs w:val="24"/>
        </w:rPr>
        <w:t xml:space="preserve"> I consider Mr Fitzpatrick was actively looking for issues to raise with Mr Camilleri’s conduct because of his ongoing frustration. </w:t>
      </w:r>
      <w:r w:rsidRPr="000266D7">
        <w:rPr>
          <w:rFonts w:ascii="Arial" w:hAnsi="Arial" w:cs="Arial"/>
          <w:szCs w:val="24"/>
        </w:rPr>
        <w:t xml:space="preserve">   </w:t>
      </w:r>
      <w:hyperlink r:id="rId12" w:history="1">
        <w:r w:rsidRPr="000266D7">
          <w:rPr>
            <w:rStyle w:val="Hyperlink"/>
            <w:rFonts w:ascii="Arial" w:hAnsi="Arial" w:cs="Arial"/>
            <w:szCs w:val="24"/>
          </w:rPr>
          <w:t xml:space="preserve"> </w:t>
        </w:r>
        <w:r w:rsidRPr="000266D7">
          <w:rPr>
            <w:rStyle w:val="Hyperlink"/>
            <w:rFonts w:ascii="Arial" w:hAnsi="Arial" w:cs="Arial"/>
            <w:b/>
            <w:bCs/>
            <w:szCs w:val="24"/>
          </w:rPr>
          <w:t xml:space="preserve">      More</w:t>
        </w:r>
      </w:hyperlink>
      <w:r w:rsidRPr="000266D7">
        <w:rPr>
          <w:rFonts w:ascii="Arial" w:hAnsi="Arial" w:cs="Arial"/>
          <w:szCs w:val="24"/>
        </w:rPr>
        <w:br/>
      </w:r>
    </w:p>
    <w:p w14:paraId="68929D21" w14:textId="77777777" w:rsidR="000266D7" w:rsidRDefault="000266D7" w:rsidP="000266D7">
      <w:pPr>
        <w:rPr>
          <w:rFonts w:ascii="Arial" w:hAnsi="Arial" w:cs="Arial"/>
          <w:szCs w:val="24"/>
        </w:rPr>
      </w:pPr>
      <w:r w:rsidRPr="000266D7">
        <w:rPr>
          <w:rFonts w:ascii="Arial" w:hAnsi="Arial" w:cs="Arial"/>
          <w:szCs w:val="24"/>
        </w:rPr>
        <w:t xml:space="preserve">  </w:t>
      </w:r>
      <w:r w:rsidRPr="000266D7">
        <w:rPr>
          <w:rFonts w:ascii="Arial" w:hAnsi="Arial" w:cs="Arial"/>
          <w:szCs w:val="24"/>
        </w:rPr>
        <w:br/>
      </w:r>
      <w:r w:rsidRPr="000266D7">
        <w:rPr>
          <w:rFonts w:ascii="Arial" w:hAnsi="Arial" w:cs="Arial"/>
          <w:b/>
          <w:bCs/>
          <w:szCs w:val="24"/>
        </w:rPr>
        <w:t>TZV SUPPORT STAFF EBA</w:t>
      </w:r>
      <w:r w:rsidRPr="000266D7">
        <w:rPr>
          <w:rFonts w:ascii="Arial" w:hAnsi="Arial" w:cs="Arial"/>
          <w:szCs w:val="24"/>
        </w:rPr>
        <w:br/>
        <w:t>About 5 months late, and in breach of the current EBA, (despite our representations) TZV have finally agreed to commence bargaining. The first meeting is proposed on Tuesday week. Our committee members are working on the Log of claims. We intend to publish the log asap and seek comment.</w:t>
      </w:r>
      <w:r w:rsidRPr="000266D7">
        <w:rPr>
          <w:rFonts w:ascii="Arial" w:hAnsi="Arial" w:cs="Arial"/>
          <w:szCs w:val="24"/>
        </w:rPr>
        <w:br/>
      </w:r>
    </w:p>
    <w:p w14:paraId="1401B5B4" w14:textId="77777777" w:rsidR="000266D7" w:rsidRDefault="000266D7" w:rsidP="000266D7">
      <w:pPr>
        <w:rPr>
          <w:rFonts w:ascii="Arial" w:hAnsi="Arial" w:cs="Arial"/>
          <w:szCs w:val="24"/>
        </w:rPr>
      </w:pPr>
    </w:p>
    <w:p w14:paraId="609E9DBB" w14:textId="77777777" w:rsidR="000266D7" w:rsidRDefault="000266D7" w:rsidP="000266D7">
      <w:pPr>
        <w:rPr>
          <w:rFonts w:ascii="Arial" w:hAnsi="Arial" w:cs="Arial"/>
          <w:szCs w:val="24"/>
        </w:rPr>
      </w:pPr>
    </w:p>
    <w:p w14:paraId="25BD6C84" w14:textId="77777777" w:rsidR="000266D7" w:rsidRDefault="000266D7" w:rsidP="000266D7">
      <w:pPr>
        <w:rPr>
          <w:rFonts w:ascii="Arial" w:hAnsi="Arial" w:cs="Arial"/>
          <w:szCs w:val="24"/>
        </w:rPr>
      </w:pPr>
      <w:r w:rsidRPr="000266D7">
        <w:rPr>
          <w:rFonts w:ascii="Arial" w:hAnsi="Arial" w:cs="Arial"/>
          <w:szCs w:val="24"/>
        </w:rPr>
        <w:lastRenderedPageBreak/>
        <w:br/>
      </w:r>
      <w:r w:rsidRPr="000266D7">
        <w:rPr>
          <w:rFonts w:ascii="Arial" w:hAnsi="Arial" w:cs="Arial"/>
          <w:b/>
          <w:bCs/>
          <w:szCs w:val="24"/>
        </w:rPr>
        <w:t>TZV SUPPORT STAFF EBA – TZV LETTER TO CWU</w:t>
      </w:r>
      <w:r w:rsidRPr="000266D7">
        <w:rPr>
          <w:rFonts w:ascii="Arial" w:hAnsi="Arial" w:cs="Arial"/>
          <w:szCs w:val="24"/>
        </w:rPr>
        <w:br/>
      </w:r>
      <w:r w:rsidRPr="000266D7">
        <w:rPr>
          <w:rFonts w:ascii="Arial" w:hAnsi="Arial" w:cs="Arial"/>
          <w:i/>
          <w:iCs/>
          <w:szCs w:val="24"/>
        </w:rPr>
        <w:t xml:space="preserve">TZV are pleased to formally notify the Communication Workers’ Union (CWU) that it has received conditional authorisation from Government to issue its Notice of Employee Representational Rights (NERR) in respect of a replacement for the Support Staff EBA </w:t>
      </w:r>
      <w:r w:rsidRPr="000266D7">
        <w:rPr>
          <w:rFonts w:ascii="Arial" w:hAnsi="Arial" w:cs="Arial"/>
          <w:szCs w:val="24"/>
        </w:rPr>
        <w:t xml:space="preserve">   </w:t>
      </w:r>
      <w:hyperlink r:id="rId13" w:history="1">
        <w:r w:rsidRPr="000266D7">
          <w:rPr>
            <w:rStyle w:val="Hyperlink"/>
            <w:rFonts w:ascii="Arial" w:hAnsi="Arial" w:cs="Arial"/>
            <w:szCs w:val="24"/>
          </w:rPr>
          <w:t xml:space="preserve"> </w:t>
        </w:r>
        <w:r w:rsidRPr="000266D7">
          <w:rPr>
            <w:rStyle w:val="Hyperlink"/>
            <w:rFonts w:ascii="Arial" w:hAnsi="Arial" w:cs="Arial"/>
            <w:b/>
            <w:bCs/>
            <w:szCs w:val="24"/>
          </w:rPr>
          <w:t xml:space="preserve">      More</w:t>
        </w:r>
      </w:hyperlink>
      <w:r w:rsidRPr="000266D7">
        <w:rPr>
          <w:rFonts w:ascii="Arial" w:hAnsi="Arial" w:cs="Arial"/>
          <w:szCs w:val="24"/>
        </w:rPr>
        <w:br/>
      </w:r>
    </w:p>
    <w:p w14:paraId="577C3ECE" w14:textId="77777777" w:rsidR="000266D7" w:rsidRDefault="000266D7" w:rsidP="000266D7">
      <w:pPr>
        <w:rPr>
          <w:rFonts w:ascii="Arial" w:hAnsi="Arial" w:cs="Arial"/>
          <w:szCs w:val="24"/>
        </w:rPr>
      </w:pPr>
      <w:r w:rsidRPr="000266D7">
        <w:rPr>
          <w:rFonts w:ascii="Arial" w:hAnsi="Arial" w:cs="Arial"/>
          <w:szCs w:val="24"/>
        </w:rPr>
        <w:t xml:space="preserve">  </w:t>
      </w:r>
      <w:r w:rsidRPr="000266D7">
        <w:rPr>
          <w:rFonts w:ascii="Arial" w:hAnsi="Arial" w:cs="Arial"/>
          <w:szCs w:val="24"/>
        </w:rPr>
        <w:br/>
      </w:r>
      <w:r w:rsidRPr="000266D7">
        <w:rPr>
          <w:rFonts w:ascii="Arial" w:hAnsi="Arial" w:cs="Arial"/>
          <w:b/>
          <w:bCs/>
          <w:szCs w:val="24"/>
        </w:rPr>
        <w:t>MECS REVIEW</w:t>
      </w:r>
      <w:r w:rsidRPr="000266D7">
        <w:rPr>
          <w:rFonts w:ascii="Arial" w:hAnsi="Arial" w:cs="Arial"/>
          <w:szCs w:val="24"/>
        </w:rPr>
        <w:br/>
        <w:t xml:space="preserve">We are meeting with TZV on Wednesday to discuss the various proposals set out in the presentation from TZV. We met with MECS members this week and identified </w:t>
      </w:r>
      <w:proofErr w:type="gramStart"/>
      <w:r w:rsidRPr="000266D7">
        <w:rPr>
          <w:rFonts w:ascii="Arial" w:hAnsi="Arial" w:cs="Arial"/>
          <w:szCs w:val="24"/>
        </w:rPr>
        <w:t>a number of</w:t>
      </w:r>
      <w:proofErr w:type="gramEnd"/>
      <w:r w:rsidRPr="000266D7">
        <w:rPr>
          <w:rFonts w:ascii="Arial" w:hAnsi="Arial" w:cs="Arial"/>
          <w:szCs w:val="24"/>
        </w:rPr>
        <w:t xml:space="preserve"> issues. John Ellery is leading the group and is seeking representatives to attend with us. We will have a follow up meeting with members after the meeting to discuss any developments.</w:t>
      </w:r>
      <w:r w:rsidRPr="000266D7">
        <w:rPr>
          <w:rFonts w:ascii="Arial" w:hAnsi="Arial" w:cs="Arial"/>
          <w:szCs w:val="24"/>
        </w:rPr>
        <w:br/>
      </w:r>
    </w:p>
    <w:p w14:paraId="22AE4FE7" w14:textId="77777777" w:rsidR="000266D7" w:rsidRDefault="000266D7" w:rsidP="000266D7">
      <w:pPr>
        <w:rPr>
          <w:rFonts w:ascii="Arial" w:hAnsi="Arial" w:cs="Arial"/>
          <w:szCs w:val="24"/>
        </w:rPr>
      </w:pPr>
      <w:r w:rsidRPr="000266D7">
        <w:rPr>
          <w:rFonts w:ascii="Arial" w:hAnsi="Arial" w:cs="Arial"/>
          <w:szCs w:val="24"/>
        </w:rPr>
        <w:t xml:space="preserve">  </w:t>
      </w:r>
      <w:r w:rsidRPr="000266D7">
        <w:rPr>
          <w:rFonts w:ascii="Arial" w:hAnsi="Arial" w:cs="Arial"/>
          <w:szCs w:val="24"/>
        </w:rPr>
        <w:br/>
      </w:r>
      <w:r w:rsidRPr="000266D7">
        <w:rPr>
          <w:rFonts w:ascii="Arial" w:hAnsi="Arial" w:cs="Arial"/>
          <w:b/>
          <w:bCs/>
          <w:szCs w:val="24"/>
        </w:rPr>
        <w:t>CLAIM MEAL ALLOWANCE AND TA ON TAX???</w:t>
      </w:r>
      <w:r w:rsidRPr="000266D7">
        <w:rPr>
          <w:rFonts w:ascii="Arial" w:hAnsi="Arial" w:cs="Arial"/>
          <w:szCs w:val="24"/>
        </w:rPr>
        <w:br/>
        <w:t>This item suggests that you discuss these matters with your tax advisor. Remember membership fees are fully tax deductible. The ATO sets out determinations of reasonable allowances. These allowances do not need to be substantiated if incurred, and your claim does not exceed these rates.</w:t>
      </w:r>
      <w:r w:rsidRPr="000266D7">
        <w:rPr>
          <w:rFonts w:ascii="Arial" w:hAnsi="Arial" w:cs="Arial"/>
          <w:i/>
          <w:iCs/>
          <w:szCs w:val="24"/>
        </w:rPr>
        <w:t xml:space="preserve"> </w:t>
      </w:r>
      <w:r w:rsidRPr="000266D7">
        <w:rPr>
          <w:rFonts w:ascii="Arial" w:hAnsi="Arial" w:cs="Arial"/>
          <w:szCs w:val="24"/>
        </w:rPr>
        <w:t xml:space="preserve">   </w:t>
      </w:r>
      <w:hyperlink r:id="rId14" w:history="1">
        <w:r w:rsidRPr="000266D7">
          <w:rPr>
            <w:rStyle w:val="Hyperlink"/>
            <w:rFonts w:ascii="Arial" w:hAnsi="Arial" w:cs="Arial"/>
            <w:szCs w:val="24"/>
          </w:rPr>
          <w:t xml:space="preserve"> </w:t>
        </w:r>
        <w:r w:rsidRPr="000266D7">
          <w:rPr>
            <w:rStyle w:val="Hyperlink"/>
            <w:rFonts w:ascii="Arial" w:hAnsi="Arial" w:cs="Arial"/>
            <w:b/>
            <w:bCs/>
            <w:szCs w:val="24"/>
          </w:rPr>
          <w:t xml:space="preserve">      More</w:t>
        </w:r>
      </w:hyperlink>
      <w:r w:rsidRPr="000266D7">
        <w:rPr>
          <w:rFonts w:ascii="Arial" w:hAnsi="Arial" w:cs="Arial"/>
          <w:szCs w:val="24"/>
        </w:rPr>
        <w:br/>
      </w:r>
    </w:p>
    <w:p w14:paraId="600B0B22" w14:textId="77777777" w:rsidR="000266D7" w:rsidRDefault="000266D7" w:rsidP="000266D7">
      <w:pPr>
        <w:rPr>
          <w:rFonts w:ascii="Arial" w:hAnsi="Arial" w:cs="Arial"/>
          <w:szCs w:val="24"/>
        </w:rPr>
      </w:pPr>
      <w:r w:rsidRPr="000266D7">
        <w:rPr>
          <w:rFonts w:ascii="Arial" w:hAnsi="Arial" w:cs="Arial"/>
          <w:szCs w:val="24"/>
        </w:rPr>
        <w:t xml:space="preserve">  </w:t>
      </w:r>
      <w:r w:rsidRPr="000266D7">
        <w:rPr>
          <w:rFonts w:ascii="Arial" w:hAnsi="Arial" w:cs="Arial"/>
          <w:szCs w:val="24"/>
        </w:rPr>
        <w:br/>
      </w:r>
      <w:r w:rsidRPr="000266D7">
        <w:rPr>
          <w:rFonts w:ascii="Arial" w:hAnsi="Arial" w:cs="Arial"/>
          <w:b/>
          <w:bCs/>
          <w:szCs w:val="24"/>
        </w:rPr>
        <w:t>GET TAX ADVICE ON MEAL ALLOWANCES</w:t>
      </w:r>
      <w:r w:rsidRPr="000266D7">
        <w:rPr>
          <w:rFonts w:ascii="Arial" w:hAnsi="Arial" w:cs="Arial"/>
          <w:szCs w:val="24"/>
        </w:rPr>
        <w:br/>
        <w:t>For the 2024–25 income year, the reasonable amount for overtime meal expenses is $37.65.  Telstra for example pays a miserable $20.71 – obviously not enough to cover a meal. But you can claim the difference.</w:t>
      </w:r>
      <w:r w:rsidRPr="000266D7">
        <w:rPr>
          <w:rFonts w:ascii="Arial" w:hAnsi="Arial" w:cs="Arial"/>
          <w:i/>
          <w:iCs/>
          <w:szCs w:val="24"/>
        </w:rPr>
        <w:t xml:space="preserve"> </w:t>
      </w:r>
      <w:r w:rsidRPr="000266D7">
        <w:rPr>
          <w:rFonts w:ascii="Arial" w:hAnsi="Arial" w:cs="Arial"/>
          <w:szCs w:val="24"/>
        </w:rPr>
        <w:t xml:space="preserve">   </w:t>
      </w:r>
      <w:hyperlink r:id="rId15" w:history="1">
        <w:r w:rsidRPr="000266D7">
          <w:rPr>
            <w:rStyle w:val="Hyperlink"/>
            <w:rFonts w:ascii="Arial" w:hAnsi="Arial" w:cs="Arial"/>
            <w:szCs w:val="24"/>
          </w:rPr>
          <w:t xml:space="preserve"> </w:t>
        </w:r>
        <w:r w:rsidRPr="000266D7">
          <w:rPr>
            <w:rStyle w:val="Hyperlink"/>
            <w:rFonts w:ascii="Arial" w:hAnsi="Arial" w:cs="Arial"/>
            <w:b/>
            <w:bCs/>
            <w:szCs w:val="24"/>
          </w:rPr>
          <w:t xml:space="preserve">      More</w:t>
        </w:r>
      </w:hyperlink>
      <w:r w:rsidRPr="000266D7">
        <w:rPr>
          <w:rFonts w:ascii="Arial" w:hAnsi="Arial" w:cs="Arial"/>
          <w:szCs w:val="24"/>
        </w:rPr>
        <w:br/>
      </w:r>
    </w:p>
    <w:p w14:paraId="729DE7F7" w14:textId="143C1555" w:rsidR="000266D7" w:rsidRPr="000266D7" w:rsidRDefault="000266D7" w:rsidP="000266D7">
      <w:pPr>
        <w:rPr>
          <w:rFonts w:ascii="Arial" w:hAnsi="Arial" w:cs="Arial"/>
          <w:szCs w:val="24"/>
        </w:rPr>
      </w:pPr>
      <w:r w:rsidRPr="000266D7">
        <w:rPr>
          <w:rFonts w:ascii="Arial" w:hAnsi="Arial" w:cs="Arial"/>
          <w:szCs w:val="24"/>
        </w:rPr>
        <w:br/>
      </w:r>
      <w:r w:rsidRPr="000266D7">
        <w:rPr>
          <w:rFonts w:ascii="Arial" w:hAnsi="Arial" w:cs="Arial"/>
          <w:b/>
          <w:bCs/>
          <w:szCs w:val="24"/>
        </w:rPr>
        <w:t>GET TAX ADVICE ON TRAVEL ALLOWANCES</w:t>
      </w:r>
      <w:r w:rsidRPr="000266D7">
        <w:rPr>
          <w:rFonts w:ascii="Arial" w:hAnsi="Arial" w:cs="Arial"/>
          <w:szCs w:val="24"/>
        </w:rPr>
        <w:br/>
        <w:t xml:space="preserve">The reasonable allowances vary from location to location. The rates can be found at the </w:t>
      </w:r>
      <w:hyperlink r:id="rId16" w:history="1">
        <w:r w:rsidRPr="000266D7">
          <w:rPr>
            <w:rStyle w:val="Hyperlink"/>
            <w:rFonts w:ascii="Arial" w:hAnsi="Arial" w:cs="Arial"/>
            <w:b/>
            <w:bCs/>
            <w:szCs w:val="24"/>
          </w:rPr>
          <w:t xml:space="preserve">ATO TA Rates page. </w:t>
        </w:r>
      </w:hyperlink>
      <w:r w:rsidRPr="000266D7">
        <w:rPr>
          <w:rFonts w:ascii="Arial" w:hAnsi="Arial" w:cs="Arial"/>
          <w:szCs w:val="24"/>
        </w:rPr>
        <w:t xml:space="preserve">If your employer does not pay the ATO rates, then you can claim the difference </w:t>
      </w:r>
      <w:r w:rsidRPr="000266D7">
        <w:rPr>
          <w:rFonts w:ascii="Arial" w:hAnsi="Arial" w:cs="Arial"/>
          <w:i/>
          <w:iCs/>
          <w:szCs w:val="24"/>
        </w:rPr>
        <w:t xml:space="preserve"> </w:t>
      </w:r>
      <w:r w:rsidRPr="000266D7">
        <w:rPr>
          <w:rFonts w:ascii="Arial" w:hAnsi="Arial" w:cs="Arial"/>
          <w:szCs w:val="24"/>
        </w:rPr>
        <w:t xml:space="preserve">   </w:t>
      </w:r>
      <w:hyperlink r:id="rId17" w:history="1">
        <w:r w:rsidRPr="000266D7">
          <w:rPr>
            <w:rStyle w:val="Hyperlink"/>
            <w:rFonts w:ascii="Arial" w:hAnsi="Arial" w:cs="Arial"/>
            <w:szCs w:val="24"/>
          </w:rPr>
          <w:t xml:space="preserve"> </w:t>
        </w:r>
        <w:r w:rsidRPr="000266D7">
          <w:rPr>
            <w:rStyle w:val="Hyperlink"/>
            <w:rFonts w:ascii="Arial" w:hAnsi="Arial" w:cs="Arial"/>
            <w:b/>
            <w:bCs/>
            <w:szCs w:val="24"/>
          </w:rPr>
          <w:t xml:space="preserve">      More</w:t>
        </w:r>
      </w:hyperlink>
    </w:p>
    <w:p w14:paraId="41DF599E" w14:textId="77777777" w:rsidR="000266D7" w:rsidRDefault="000266D7" w:rsidP="005A7C24">
      <w:pPr>
        <w:rPr>
          <w:rFonts w:ascii="Arial" w:hAnsi="Arial" w:cs="Arial"/>
          <w:szCs w:val="24"/>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8">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9"/>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66D7"/>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797"/>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932780423">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378967009">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18.htm"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wuvic.org.au/database/nswnew/bull2518.htm" TargetMode="External"/><Relationship Id="rId17" Type="http://schemas.openxmlformats.org/officeDocument/2006/relationships/hyperlink" Target="https://cwuvic.org.au/database/nswnew/bull2518.htm" TargetMode="External"/><Relationship Id="rId2" Type="http://schemas.openxmlformats.org/officeDocument/2006/relationships/styles" Target="styles.xml"/><Relationship Id="rId16" Type="http://schemas.openxmlformats.org/officeDocument/2006/relationships/hyperlink" Target="https://atotaxrates.info/allowances/ato-reasonable-travel-allowan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18.htm" TargetMode="External"/><Relationship Id="rId5" Type="http://schemas.openxmlformats.org/officeDocument/2006/relationships/footnotes" Target="footnotes.xml"/><Relationship Id="rId15" Type="http://schemas.openxmlformats.org/officeDocument/2006/relationships/hyperlink" Target="https://cwuvic.org.au/database/nswnew/bull2518.htm" TargetMode="External"/><Relationship Id="rId10" Type="http://schemas.openxmlformats.org/officeDocument/2006/relationships/hyperlink" Target="https://www.fwc.gov.au/document-search/view/1/aHR0cHM6Ly9zYXNyY2RhdGFwcmRhdWVhYS5ibG9iLmNvcmUud2luZG93cy5uZXQvZGVjaXNpb25zLzIwMjUvMDUvUFI3ODczMzk1NDk4NzI0NmIzOGJmYmJhLWFiMjAtNGQ5Ny04ZTg4LTA1OTlkNTY5NGE5YTQzNTc3YzIzLTUzOTEtNGVkMy1iMTc1LWRjOGUzZDc0OWZiMi5wZGY1?sid=&amp;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3955</Characters>
  <Application>Microsoft Office Word</Application>
  <DocSecurity>0</DocSecurity>
  <Lines>232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2025-05-19T02:14:00Z</dcterms:created>
  <dcterms:modified xsi:type="dcterms:W3CDTF">2025-05-19T02:14:00Z</dcterms:modified>
</cp:coreProperties>
</file>