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2C4A609C" w14:textId="39ABADD7" w:rsidR="005A7C24" w:rsidRDefault="008E1FC4" w:rsidP="005A7C24">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EB3CAA">
        <w:rPr>
          <w:rFonts w:ascii="Arial" w:hAnsi="Arial" w:cs="Arial"/>
          <w:szCs w:val="24"/>
        </w:rPr>
        <w:t>26</w:t>
      </w:r>
    </w:p>
    <w:p w14:paraId="457D2D5F" w14:textId="77777777" w:rsidR="00EB3CAA" w:rsidRDefault="00EB3CAA" w:rsidP="005A7C24">
      <w:pPr>
        <w:rPr>
          <w:rFonts w:ascii="Arial" w:hAnsi="Arial" w:cs="Arial"/>
          <w:szCs w:val="24"/>
        </w:rPr>
      </w:pPr>
    </w:p>
    <w:p w14:paraId="2147F095" w14:textId="77777777" w:rsidR="00EB3CAA" w:rsidRPr="00EB3CAA" w:rsidRDefault="00EB3CAA" w:rsidP="00EB3CAA">
      <w:pPr>
        <w:rPr>
          <w:rFonts w:ascii="Arial" w:hAnsi="Arial" w:cs="Arial"/>
          <w:sz w:val="28"/>
          <w:szCs w:val="28"/>
        </w:rPr>
      </w:pPr>
      <w:r w:rsidRPr="00EB3CAA">
        <w:rPr>
          <w:rFonts w:ascii="Arial" w:hAnsi="Arial" w:cs="Arial"/>
          <w:b/>
          <w:bCs/>
          <w:sz w:val="28"/>
          <w:szCs w:val="28"/>
        </w:rPr>
        <w:t>CWU T&amp;S WEEKLY BULLETIN NO 2025/19 – 25 MAY 2025</w:t>
      </w:r>
      <w:r w:rsidRPr="00EB3CAA">
        <w:rPr>
          <w:rFonts w:ascii="Arial" w:hAnsi="Arial" w:cs="Arial"/>
          <w:sz w:val="28"/>
          <w:szCs w:val="28"/>
        </w:rPr>
        <w:br/>
      </w:r>
      <w:hyperlink r:id="rId8" w:history="1">
        <w:r w:rsidRPr="00EB3CAA">
          <w:rPr>
            <w:rStyle w:val="Hyperlink"/>
            <w:rFonts w:ascii="Arial" w:hAnsi="Arial" w:cs="Arial"/>
            <w:b/>
            <w:bCs/>
            <w:sz w:val="28"/>
            <w:szCs w:val="28"/>
          </w:rPr>
          <w:t>CWU T&amp;S Branch cwu.asn.au</w:t>
        </w:r>
      </w:hyperlink>
      <w:r w:rsidRPr="00EB3CAA">
        <w:rPr>
          <w:rFonts w:ascii="Arial" w:hAnsi="Arial" w:cs="Arial"/>
          <w:sz w:val="28"/>
          <w:szCs w:val="28"/>
        </w:rPr>
        <w:br/>
      </w:r>
      <w:r w:rsidRPr="00EB3CAA">
        <w:rPr>
          <w:rFonts w:ascii="Arial" w:hAnsi="Arial" w:cs="Arial"/>
          <w:b/>
          <w:bCs/>
          <w:sz w:val="28"/>
          <w:szCs w:val="28"/>
        </w:rPr>
        <w:t>You're never alone when you're a union member</w:t>
      </w:r>
      <w:r w:rsidRPr="00EB3CAA">
        <w:rPr>
          <w:rFonts w:ascii="Arial" w:hAnsi="Arial" w:cs="Arial"/>
          <w:sz w:val="28"/>
          <w:szCs w:val="28"/>
        </w:rPr>
        <w:br/>
      </w:r>
      <w:hyperlink r:id="rId9" w:history="1">
        <w:r w:rsidRPr="00EB3CAA">
          <w:rPr>
            <w:rStyle w:val="Hyperlink"/>
            <w:rFonts w:ascii="Arial" w:hAnsi="Arial" w:cs="Arial"/>
            <w:b/>
            <w:bCs/>
            <w:sz w:val="28"/>
            <w:szCs w:val="28"/>
          </w:rPr>
          <w:t>Click here to join CWU TS Branch</w:t>
        </w:r>
      </w:hyperlink>
    </w:p>
    <w:p w14:paraId="7C6C6D0F" w14:textId="77777777" w:rsidR="00EB3CAA" w:rsidRDefault="00EB3CAA" w:rsidP="00EB3CAA">
      <w:pPr>
        <w:rPr>
          <w:rFonts w:ascii="Arial" w:hAnsi="Arial" w:cs="Arial"/>
          <w:szCs w:val="24"/>
        </w:rPr>
      </w:pPr>
    </w:p>
    <w:p w14:paraId="449B854B" w14:textId="77777777" w:rsidR="00EB3CAA" w:rsidRDefault="00EB3CAA" w:rsidP="00EB3CAA">
      <w:pPr>
        <w:rPr>
          <w:rFonts w:ascii="Arial" w:hAnsi="Arial" w:cs="Arial"/>
          <w:szCs w:val="24"/>
        </w:rPr>
      </w:pPr>
      <w:r w:rsidRPr="00EB3CAA">
        <w:rPr>
          <w:rFonts w:ascii="Arial" w:hAnsi="Arial" w:cs="Arial"/>
          <w:szCs w:val="24"/>
        </w:rPr>
        <w:t xml:space="preserve">  </w:t>
      </w:r>
      <w:r w:rsidRPr="00EB3CAA">
        <w:rPr>
          <w:rFonts w:ascii="Arial" w:hAnsi="Arial" w:cs="Arial"/>
          <w:szCs w:val="24"/>
        </w:rPr>
        <w:br/>
      </w:r>
      <w:r w:rsidRPr="00EB3CAA">
        <w:rPr>
          <w:rFonts w:ascii="Arial" w:hAnsi="Arial" w:cs="Arial"/>
          <w:b/>
          <w:bCs/>
          <w:szCs w:val="24"/>
        </w:rPr>
        <w:t>NBN BULLYING CASE DECISION</w:t>
      </w:r>
      <w:r w:rsidRPr="00EB3CAA">
        <w:rPr>
          <w:rFonts w:ascii="Arial" w:hAnsi="Arial" w:cs="Arial"/>
          <w:szCs w:val="24"/>
        </w:rPr>
        <w:br/>
        <w:t xml:space="preserve">In a Decision handed down 2 weeks ago, the FWC found that our member has been bullied at work. The full decision is on the FWC webpage at </w:t>
      </w:r>
      <w:hyperlink r:id="rId10" w:history="1">
        <w:r w:rsidRPr="00EB3CAA">
          <w:rPr>
            <w:rStyle w:val="Hyperlink"/>
            <w:rFonts w:ascii="Arial" w:hAnsi="Arial" w:cs="Arial"/>
            <w:szCs w:val="24"/>
          </w:rPr>
          <w:t xml:space="preserve">Application by Mr Adam Camilleri </w:t>
        </w:r>
      </w:hyperlink>
      <w:r w:rsidRPr="00EB3CAA">
        <w:rPr>
          <w:rFonts w:ascii="Arial" w:hAnsi="Arial" w:cs="Arial"/>
          <w:szCs w:val="24"/>
        </w:rPr>
        <w:t>. There are several lessons in the case. We deal with two more this week. More next week.</w:t>
      </w:r>
      <w:r w:rsidRPr="00EB3CAA">
        <w:rPr>
          <w:rFonts w:ascii="Arial" w:hAnsi="Arial" w:cs="Arial"/>
          <w:szCs w:val="24"/>
        </w:rPr>
        <w:br/>
      </w:r>
    </w:p>
    <w:p w14:paraId="70224A30" w14:textId="77777777" w:rsidR="00EB3CAA" w:rsidRDefault="00EB3CAA" w:rsidP="00EB3CAA">
      <w:pPr>
        <w:rPr>
          <w:rFonts w:ascii="Arial" w:hAnsi="Arial" w:cs="Arial"/>
          <w:szCs w:val="24"/>
        </w:rPr>
      </w:pPr>
      <w:r w:rsidRPr="00EB3CAA">
        <w:rPr>
          <w:rFonts w:ascii="Arial" w:hAnsi="Arial" w:cs="Arial"/>
          <w:szCs w:val="24"/>
        </w:rPr>
        <w:t xml:space="preserve">  </w:t>
      </w:r>
      <w:r w:rsidRPr="00EB3CAA">
        <w:rPr>
          <w:rFonts w:ascii="Arial" w:hAnsi="Arial" w:cs="Arial"/>
          <w:szCs w:val="24"/>
        </w:rPr>
        <w:br/>
      </w:r>
      <w:r w:rsidRPr="00EB3CAA">
        <w:rPr>
          <w:rFonts w:ascii="Arial" w:hAnsi="Arial" w:cs="Arial"/>
          <w:b/>
          <w:bCs/>
          <w:szCs w:val="24"/>
        </w:rPr>
        <w:t>NBN BULLYING: NATURAL JUSTICE NEEDED</w:t>
      </w:r>
      <w:r w:rsidRPr="00EB3CAA">
        <w:rPr>
          <w:rFonts w:ascii="Arial" w:hAnsi="Arial" w:cs="Arial"/>
          <w:szCs w:val="24"/>
        </w:rPr>
        <w:br/>
        <w:t xml:space="preserve">The importance of proper notice of a meeting, the provision of any available material, the right to have a support person and the right to genuine consideration of any response arose. Extract: </w:t>
      </w:r>
      <w:r w:rsidRPr="00EB3CAA">
        <w:rPr>
          <w:rFonts w:ascii="Arial" w:hAnsi="Arial" w:cs="Arial"/>
          <w:i/>
          <w:iCs/>
          <w:szCs w:val="24"/>
        </w:rPr>
        <w:t>[</w:t>
      </w:r>
      <w:proofErr w:type="gramStart"/>
      <w:r w:rsidRPr="00EB3CAA">
        <w:rPr>
          <w:rFonts w:ascii="Arial" w:hAnsi="Arial" w:cs="Arial"/>
          <w:i/>
          <w:iCs/>
          <w:szCs w:val="24"/>
        </w:rPr>
        <w:t>19]…</w:t>
      </w:r>
      <w:proofErr w:type="gramEnd"/>
      <w:r w:rsidRPr="00EB3CAA">
        <w:rPr>
          <w:rFonts w:ascii="Arial" w:hAnsi="Arial" w:cs="Arial"/>
          <w:i/>
          <w:iCs/>
          <w:szCs w:val="24"/>
        </w:rPr>
        <w:t xml:space="preserve">. It would have been appropriate for Mr Camilleri to be provided with proper notice of the meeting and an opportunity to bring a support person to the meeting. </w:t>
      </w:r>
      <w:hyperlink r:id="rId11" w:history="1">
        <w:r w:rsidRPr="00EB3CAA">
          <w:rPr>
            <w:rStyle w:val="Hyperlink"/>
            <w:rFonts w:ascii="Arial" w:hAnsi="Arial" w:cs="Arial"/>
            <w:szCs w:val="24"/>
          </w:rPr>
          <w:t xml:space="preserve"> </w:t>
        </w:r>
        <w:r w:rsidRPr="00EB3CAA">
          <w:rPr>
            <w:rStyle w:val="Hyperlink"/>
            <w:rFonts w:ascii="Arial" w:hAnsi="Arial" w:cs="Arial"/>
            <w:b/>
            <w:bCs/>
            <w:szCs w:val="24"/>
          </w:rPr>
          <w:t xml:space="preserve">      More</w:t>
        </w:r>
      </w:hyperlink>
      <w:r w:rsidRPr="00EB3CAA">
        <w:rPr>
          <w:rFonts w:ascii="Arial" w:hAnsi="Arial" w:cs="Arial"/>
          <w:szCs w:val="24"/>
        </w:rPr>
        <w:br/>
      </w:r>
    </w:p>
    <w:p w14:paraId="00DC7D16" w14:textId="77777777" w:rsidR="00EB3CAA" w:rsidRDefault="00EB3CAA" w:rsidP="00EB3CAA">
      <w:pPr>
        <w:rPr>
          <w:rFonts w:ascii="Arial" w:hAnsi="Arial" w:cs="Arial"/>
          <w:szCs w:val="24"/>
        </w:rPr>
      </w:pPr>
      <w:r w:rsidRPr="00EB3CAA">
        <w:rPr>
          <w:rFonts w:ascii="Arial" w:hAnsi="Arial" w:cs="Arial"/>
          <w:szCs w:val="24"/>
        </w:rPr>
        <w:t xml:space="preserve">  </w:t>
      </w:r>
      <w:r w:rsidRPr="00EB3CAA">
        <w:rPr>
          <w:rFonts w:ascii="Arial" w:hAnsi="Arial" w:cs="Arial"/>
          <w:szCs w:val="24"/>
        </w:rPr>
        <w:br/>
      </w:r>
      <w:r w:rsidRPr="00EB3CAA">
        <w:rPr>
          <w:rFonts w:ascii="Arial" w:hAnsi="Arial" w:cs="Arial"/>
          <w:b/>
          <w:bCs/>
          <w:szCs w:val="24"/>
        </w:rPr>
        <w:t>NBN BULLYING: SOD CASE NOTED</w:t>
      </w:r>
      <w:r w:rsidRPr="00EB3CAA">
        <w:rPr>
          <w:rFonts w:ascii="Arial" w:hAnsi="Arial" w:cs="Arial"/>
          <w:szCs w:val="24"/>
        </w:rPr>
        <w:br/>
        <w:t xml:space="preserve">The dispute was not argued in the bullying case, as that is a matter to be determined in our Court application. It was referred to in the proceedings as it provided context to some situations. The FWC stated: </w:t>
      </w:r>
      <w:r w:rsidRPr="00EB3CAA">
        <w:rPr>
          <w:rFonts w:ascii="Arial" w:hAnsi="Arial" w:cs="Arial"/>
          <w:i/>
          <w:iCs/>
          <w:szCs w:val="24"/>
        </w:rPr>
        <w:t xml:space="preserve">[78] … Mr Camilleri is perfectly entitled to do this </w:t>
      </w:r>
      <w:r w:rsidRPr="00EB3CAA">
        <w:rPr>
          <w:rFonts w:ascii="Arial" w:hAnsi="Arial" w:cs="Arial"/>
          <w:i/>
          <w:iCs/>
          <w:szCs w:val="24"/>
          <w:u w:val="single"/>
        </w:rPr>
        <w:t>and is protected from adverse action</w:t>
      </w:r>
      <w:r w:rsidRPr="00EB3CAA">
        <w:rPr>
          <w:rFonts w:ascii="Arial" w:hAnsi="Arial" w:cs="Arial"/>
          <w:i/>
          <w:iCs/>
          <w:szCs w:val="24"/>
        </w:rPr>
        <w:t>.</w:t>
      </w:r>
      <w:r w:rsidRPr="00EB3CAA">
        <w:rPr>
          <w:rFonts w:ascii="Arial" w:hAnsi="Arial" w:cs="Arial"/>
          <w:szCs w:val="24"/>
        </w:rPr>
        <w:t xml:space="preserve"> </w:t>
      </w:r>
      <w:hyperlink r:id="rId12" w:history="1">
        <w:r w:rsidRPr="00EB3CAA">
          <w:rPr>
            <w:rStyle w:val="Hyperlink"/>
            <w:rFonts w:ascii="Arial" w:hAnsi="Arial" w:cs="Arial"/>
            <w:szCs w:val="24"/>
          </w:rPr>
          <w:t xml:space="preserve"> </w:t>
        </w:r>
        <w:r w:rsidRPr="00EB3CAA">
          <w:rPr>
            <w:rStyle w:val="Hyperlink"/>
            <w:rFonts w:ascii="Arial" w:hAnsi="Arial" w:cs="Arial"/>
            <w:b/>
            <w:bCs/>
            <w:szCs w:val="24"/>
          </w:rPr>
          <w:t xml:space="preserve">      More</w:t>
        </w:r>
      </w:hyperlink>
      <w:r w:rsidRPr="00EB3CAA">
        <w:rPr>
          <w:rFonts w:ascii="Arial" w:hAnsi="Arial" w:cs="Arial"/>
          <w:szCs w:val="24"/>
        </w:rPr>
        <w:br/>
      </w:r>
    </w:p>
    <w:p w14:paraId="0966074E" w14:textId="77777777" w:rsidR="00EB3CAA" w:rsidRDefault="00EB3CAA" w:rsidP="00EB3CAA">
      <w:pPr>
        <w:rPr>
          <w:rFonts w:ascii="Arial" w:hAnsi="Arial" w:cs="Arial"/>
          <w:szCs w:val="24"/>
        </w:rPr>
      </w:pPr>
      <w:r w:rsidRPr="00EB3CAA">
        <w:rPr>
          <w:rFonts w:ascii="Arial" w:hAnsi="Arial" w:cs="Arial"/>
          <w:szCs w:val="24"/>
        </w:rPr>
        <w:t xml:space="preserve">  </w:t>
      </w:r>
      <w:r w:rsidRPr="00EB3CAA">
        <w:rPr>
          <w:rFonts w:ascii="Arial" w:hAnsi="Arial" w:cs="Arial"/>
          <w:szCs w:val="24"/>
        </w:rPr>
        <w:br/>
      </w:r>
      <w:r w:rsidRPr="00EB3CAA">
        <w:rPr>
          <w:rFonts w:ascii="Arial" w:hAnsi="Arial" w:cs="Arial"/>
          <w:b/>
          <w:bCs/>
          <w:szCs w:val="24"/>
        </w:rPr>
        <w:t>TZV SUPPORT STAFF EBA</w:t>
      </w:r>
      <w:r w:rsidRPr="00EB3CAA">
        <w:rPr>
          <w:rFonts w:ascii="Arial" w:hAnsi="Arial" w:cs="Arial"/>
          <w:szCs w:val="24"/>
        </w:rPr>
        <w:br/>
        <w:t xml:space="preserve">This week we will have our first meeting with TZV to negotiate a new Support Staff EBA. Our committee members are working on the Log of claims. We intend to publish the log asap and seek comment. </w:t>
      </w:r>
      <w:hyperlink r:id="rId13" w:history="1">
        <w:r w:rsidRPr="00EB3CAA">
          <w:rPr>
            <w:rStyle w:val="Hyperlink"/>
            <w:rFonts w:ascii="Arial" w:hAnsi="Arial" w:cs="Arial"/>
            <w:szCs w:val="24"/>
          </w:rPr>
          <w:t xml:space="preserve"> </w:t>
        </w:r>
        <w:r w:rsidRPr="00EB3CAA">
          <w:rPr>
            <w:rStyle w:val="Hyperlink"/>
            <w:rFonts w:ascii="Arial" w:hAnsi="Arial" w:cs="Arial"/>
            <w:b/>
            <w:bCs/>
            <w:szCs w:val="24"/>
          </w:rPr>
          <w:t xml:space="preserve">      More</w:t>
        </w:r>
      </w:hyperlink>
      <w:r w:rsidRPr="00EB3CAA">
        <w:rPr>
          <w:rFonts w:ascii="Arial" w:hAnsi="Arial" w:cs="Arial"/>
          <w:szCs w:val="24"/>
        </w:rPr>
        <w:br/>
      </w:r>
    </w:p>
    <w:p w14:paraId="7D3317FD" w14:textId="77777777" w:rsidR="00EB3CAA" w:rsidRDefault="00EB3CAA" w:rsidP="00EB3CAA">
      <w:pPr>
        <w:rPr>
          <w:rFonts w:ascii="Arial" w:hAnsi="Arial" w:cs="Arial"/>
          <w:szCs w:val="24"/>
        </w:rPr>
      </w:pPr>
      <w:r w:rsidRPr="00EB3CAA">
        <w:rPr>
          <w:rFonts w:ascii="Arial" w:hAnsi="Arial" w:cs="Arial"/>
          <w:szCs w:val="24"/>
        </w:rPr>
        <w:t xml:space="preserve">  </w:t>
      </w:r>
      <w:r w:rsidRPr="00EB3CAA">
        <w:rPr>
          <w:rFonts w:ascii="Arial" w:hAnsi="Arial" w:cs="Arial"/>
          <w:szCs w:val="24"/>
        </w:rPr>
        <w:br/>
      </w:r>
      <w:r w:rsidRPr="00EB3CAA">
        <w:rPr>
          <w:rFonts w:ascii="Arial" w:hAnsi="Arial" w:cs="Arial"/>
          <w:b/>
          <w:bCs/>
          <w:szCs w:val="24"/>
        </w:rPr>
        <w:t>MECS REVIEW</w:t>
      </w:r>
      <w:r w:rsidRPr="00EB3CAA">
        <w:rPr>
          <w:rFonts w:ascii="Arial" w:hAnsi="Arial" w:cs="Arial"/>
          <w:szCs w:val="24"/>
        </w:rPr>
        <w:br/>
        <w:t xml:space="preserve">We met with Nicole Ashworth this week to respond to the proposal by TZV to change the MECS structure. We are setting up a small working party to deal with these matters…..  Secondly, it was agreed that implementation would not occur until these issues have been mainly addressed. So for the moment, nothing will be implemented. </w:t>
      </w:r>
      <w:hyperlink r:id="rId14" w:history="1">
        <w:r w:rsidRPr="00EB3CAA">
          <w:rPr>
            <w:rStyle w:val="Hyperlink"/>
            <w:rFonts w:ascii="Arial" w:hAnsi="Arial" w:cs="Arial"/>
            <w:szCs w:val="24"/>
          </w:rPr>
          <w:t xml:space="preserve"> </w:t>
        </w:r>
        <w:r w:rsidRPr="00EB3CAA">
          <w:rPr>
            <w:rStyle w:val="Hyperlink"/>
            <w:rFonts w:ascii="Arial" w:hAnsi="Arial" w:cs="Arial"/>
            <w:b/>
            <w:bCs/>
            <w:szCs w:val="24"/>
          </w:rPr>
          <w:t xml:space="preserve">      More</w:t>
        </w:r>
      </w:hyperlink>
      <w:r w:rsidRPr="00EB3CAA">
        <w:rPr>
          <w:rFonts w:ascii="Arial" w:hAnsi="Arial" w:cs="Arial"/>
          <w:szCs w:val="24"/>
        </w:rPr>
        <w:br/>
      </w:r>
    </w:p>
    <w:p w14:paraId="19555A13" w14:textId="77777777" w:rsidR="00EB3CAA" w:rsidRDefault="00EB3CAA" w:rsidP="00EB3CAA">
      <w:pPr>
        <w:rPr>
          <w:rFonts w:ascii="Arial" w:hAnsi="Arial" w:cs="Arial"/>
          <w:szCs w:val="24"/>
        </w:rPr>
      </w:pPr>
      <w:r w:rsidRPr="00EB3CAA">
        <w:rPr>
          <w:rFonts w:ascii="Arial" w:hAnsi="Arial" w:cs="Arial"/>
          <w:szCs w:val="24"/>
        </w:rPr>
        <w:lastRenderedPageBreak/>
        <w:br/>
      </w:r>
      <w:r w:rsidRPr="00EB3CAA">
        <w:rPr>
          <w:rFonts w:ascii="Arial" w:hAnsi="Arial" w:cs="Arial"/>
          <w:b/>
          <w:bCs/>
          <w:szCs w:val="24"/>
        </w:rPr>
        <w:t>TZV REDUNDANCY PACKAGE</w:t>
      </w:r>
      <w:r w:rsidRPr="00EB3CAA">
        <w:rPr>
          <w:rFonts w:ascii="Arial" w:hAnsi="Arial" w:cs="Arial"/>
          <w:szCs w:val="24"/>
        </w:rPr>
        <w:br/>
        <w:t xml:space="preserve">We have received </w:t>
      </w:r>
      <w:proofErr w:type="gramStart"/>
      <w:r w:rsidRPr="00EB3CAA">
        <w:rPr>
          <w:rFonts w:ascii="Arial" w:hAnsi="Arial" w:cs="Arial"/>
          <w:szCs w:val="24"/>
        </w:rPr>
        <w:t>a number of</w:t>
      </w:r>
      <w:proofErr w:type="gramEnd"/>
      <w:r w:rsidRPr="00EB3CAA">
        <w:rPr>
          <w:rFonts w:ascii="Arial" w:hAnsi="Arial" w:cs="Arial"/>
          <w:szCs w:val="24"/>
        </w:rPr>
        <w:t xml:space="preserve"> questions about the redundancy policy. We have a  </w:t>
      </w:r>
      <w:hyperlink r:id="rId15" w:history="1">
        <w:r w:rsidRPr="00EB3CAA">
          <w:rPr>
            <w:rStyle w:val="Hyperlink"/>
            <w:rFonts w:ascii="Arial" w:hAnsi="Arial" w:cs="Arial"/>
            <w:szCs w:val="24"/>
          </w:rPr>
          <w:t>CWU ESTA Redundancy Page</w:t>
        </w:r>
      </w:hyperlink>
      <w:r w:rsidRPr="00EB3CAA">
        <w:rPr>
          <w:rFonts w:ascii="Arial" w:hAnsi="Arial" w:cs="Arial"/>
          <w:szCs w:val="24"/>
        </w:rPr>
        <w:t xml:space="preserve">. First, there is agreement that the redundancies in TZV are Targeted Separation Packages (TSP). Second, we are seeking clarification of the method of calculation.  </w:t>
      </w:r>
      <w:hyperlink r:id="rId16" w:history="1">
        <w:r w:rsidRPr="00EB3CAA">
          <w:rPr>
            <w:rStyle w:val="Hyperlink"/>
            <w:rFonts w:ascii="Arial" w:hAnsi="Arial" w:cs="Arial"/>
            <w:szCs w:val="24"/>
          </w:rPr>
          <w:t xml:space="preserve"> </w:t>
        </w:r>
        <w:r w:rsidRPr="00EB3CAA">
          <w:rPr>
            <w:rStyle w:val="Hyperlink"/>
            <w:rFonts w:ascii="Arial" w:hAnsi="Arial" w:cs="Arial"/>
            <w:b/>
            <w:bCs/>
            <w:szCs w:val="24"/>
          </w:rPr>
          <w:t xml:space="preserve">      More</w:t>
        </w:r>
      </w:hyperlink>
      <w:r w:rsidRPr="00EB3CAA">
        <w:rPr>
          <w:rFonts w:ascii="Arial" w:hAnsi="Arial" w:cs="Arial"/>
          <w:szCs w:val="24"/>
        </w:rPr>
        <w:br/>
        <w:t> </w:t>
      </w:r>
    </w:p>
    <w:p w14:paraId="5FE553B3" w14:textId="389077EC" w:rsidR="00EB3CAA" w:rsidRPr="00EB3CAA" w:rsidRDefault="00EB3CAA" w:rsidP="00EB3CAA">
      <w:pPr>
        <w:rPr>
          <w:rFonts w:ascii="Arial" w:hAnsi="Arial" w:cs="Arial"/>
          <w:szCs w:val="24"/>
        </w:rPr>
      </w:pPr>
      <w:r w:rsidRPr="00EB3CAA">
        <w:rPr>
          <w:rFonts w:ascii="Arial" w:hAnsi="Arial" w:cs="Arial"/>
          <w:szCs w:val="24"/>
        </w:rPr>
        <w:t xml:space="preserve"> </w:t>
      </w:r>
      <w:r w:rsidRPr="00EB3CAA">
        <w:rPr>
          <w:rFonts w:ascii="Arial" w:hAnsi="Arial" w:cs="Arial"/>
          <w:szCs w:val="24"/>
        </w:rPr>
        <w:br/>
      </w:r>
      <w:r w:rsidRPr="00EB3CAA">
        <w:rPr>
          <w:rFonts w:ascii="Arial" w:hAnsi="Arial" w:cs="Arial"/>
          <w:b/>
          <w:bCs/>
          <w:szCs w:val="24"/>
        </w:rPr>
        <w:t>TZV REDUNDANCY - TSP</w:t>
      </w:r>
      <w:r w:rsidRPr="00EB3CAA">
        <w:rPr>
          <w:rFonts w:ascii="Arial" w:hAnsi="Arial" w:cs="Arial"/>
          <w:szCs w:val="24"/>
        </w:rPr>
        <w:br/>
        <w:t xml:space="preserve">The following is our view on the TSP policy). </w:t>
      </w:r>
      <w:r w:rsidRPr="00EB3CAA">
        <w:rPr>
          <w:rFonts w:ascii="Arial" w:hAnsi="Arial" w:cs="Arial"/>
          <w:b/>
          <w:bCs/>
          <w:szCs w:val="24"/>
        </w:rPr>
        <w:t xml:space="preserve">The TSP comprises: </w:t>
      </w:r>
      <w:r w:rsidRPr="00EB3CAA">
        <w:rPr>
          <w:rFonts w:ascii="Arial" w:hAnsi="Arial" w:cs="Arial"/>
          <w:szCs w:val="24"/>
        </w:rPr>
        <w:t>4w of pay plus 1 additional week pay if over 45, plus 2w pay per each year of service up to a max of 10y (</w:t>
      </w:r>
      <w:r w:rsidRPr="00EB3CAA">
        <w:rPr>
          <w:rFonts w:ascii="Arial" w:hAnsi="Arial" w:cs="Arial"/>
          <w:szCs w:val="24"/>
        </w:rPr>
        <w:t>i.e.</w:t>
      </w:r>
      <w:r w:rsidRPr="00EB3CAA">
        <w:rPr>
          <w:rFonts w:ascii="Arial" w:hAnsi="Arial" w:cs="Arial"/>
          <w:szCs w:val="24"/>
        </w:rPr>
        <w:t xml:space="preserve"> 20w) Under a separate heading, </w:t>
      </w:r>
      <w:r w:rsidRPr="00EB3CAA">
        <w:rPr>
          <w:rFonts w:ascii="Arial" w:hAnsi="Arial" w:cs="Arial"/>
          <w:b/>
          <w:bCs/>
          <w:szCs w:val="24"/>
        </w:rPr>
        <w:t xml:space="preserve">Notice - Requirements of the FW Act. </w:t>
      </w:r>
      <w:r w:rsidRPr="00EB3CAA">
        <w:rPr>
          <w:rFonts w:ascii="Arial" w:hAnsi="Arial" w:cs="Arial"/>
          <w:szCs w:val="24"/>
        </w:rPr>
        <w:t xml:space="preserve">The required minimum period of notice as provided in the NES is:.. </w:t>
      </w:r>
      <w:hyperlink r:id="rId17" w:history="1">
        <w:r w:rsidRPr="00EB3CAA">
          <w:rPr>
            <w:rStyle w:val="Hyperlink"/>
            <w:rFonts w:ascii="Arial" w:hAnsi="Arial" w:cs="Arial"/>
            <w:szCs w:val="24"/>
          </w:rPr>
          <w:t xml:space="preserve"> </w:t>
        </w:r>
        <w:r w:rsidRPr="00EB3CAA">
          <w:rPr>
            <w:rStyle w:val="Hyperlink"/>
            <w:rFonts w:ascii="Arial" w:hAnsi="Arial" w:cs="Arial"/>
            <w:b/>
            <w:bCs/>
            <w:szCs w:val="24"/>
          </w:rPr>
          <w:t xml:space="preserve">      More</w:t>
        </w:r>
      </w:hyperlink>
    </w:p>
    <w:p w14:paraId="02D9A259" w14:textId="77777777" w:rsidR="00EB3CAA" w:rsidRDefault="00EB3CAA" w:rsidP="005A7C24">
      <w:pPr>
        <w:rPr>
          <w:rFonts w:ascii="Arial" w:hAnsi="Arial" w:cs="Arial"/>
          <w:szCs w:val="24"/>
        </w:rPr>
      </w:pPr>
    </w:p>
    <w:p w14:paraId="4E92AF90" w14:textId="77777777" w:rsidR="006555EA" w:rsidRDefault="006555EA" w:rsidP="00EF008C">
      <w:pPr>
        <w:rPr>
          <w:rFonts w:ascii="Arial" w:hAnsi="Arial" w:cs="Arial"/>
          <w:szCs w:val="24"/>
        </w:rPr>
      </w:pPr>
    </w:p>
    <w:p w14:paraId="6C6619A7" w14:textId="77777777" w:rsidR="006555EA" w:rsidRDefault="006555EA"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8">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9"/>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67CD7"/>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3CAA"/>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372734041">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904099431">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19.htm"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wuvic.org.au/database/nswnew/bull2519.htm" TargetMode="External"/><Relationship Id="rId17" Type="http://schemas.openxmlformats.org/officeDocument/2006/relationships/hyperlink" Target="https://cwuvic.org.au/database/nswnew/bull2519.htm" TargetMode="External"/><Relationship Id="rId2" Type="http://schemas.openxmlformats.org/officeDocument/2006/relationships/styles" Target="styles.xml"/><Relationship Id="rId16" Type="http://schemas.openxmlformats.org/officeDocument/2006/relationships/hyperlink" Target="https://cwuvic.org.au/database/nswnew/bull2519.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19.htm" TargetMode="External"/><Relationship Id="rId5" Type="http://schemas.openxmlformats.org/officeDocument/2006/relationships/footnotes" Target="footnotes.xml"/><Relationship Id="rId15" Type="http://schemas.openxmlformats.org/officeDocument/2006/relationships/hyperlink" Target="https://cwuvic.org.au/database/esta/tzv049.htm" TargetMode="External"/><Relationship Id="rId10" Type="http://schemas.openxmlformats.org/officeDocument/2006/relationships/hyperlink" Target="https://www.fwc.gov.au/document-search/view/1/aHR0cHM6Ly9zYXNyY2RhdGFwcmRhdWVhYS5ibG9iLmNvcmUud2luZG93cy5uZXQvZGVjaXNpb25zLzIwMjUvMDUvUFI3ODczMzk1NDk4NzI0NmIzOGJmYmJhLWFiMjAtNGQ5Ny04ZTg4LTA1OTlkNTY5NGE5YTQzNTc3YzIzLTUzOTEtNGVkMy1iMTc1LWRjOGUzZDc0OWZiMi5wZGY1?sid=&amp;q="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5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2019-11-17T23:38:00Z</cp:lastPrinted>
  <dcterms:created xsi:type="dcterms:W3CDTF">2025-05-26T01:47:00Z</dcterms:created>
  <dcterms:modified xsi:type="dcterms:W3CDTF">2025-05-26T01:47:00Z</dcterms:modified>
</cp:coreProperties>
</file>