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0979E485"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F7706A">
        <w:rPr>
          <w:rFonts w:ascii="Arial" w:hAnsi="Arial" w:cs="Arial"/>
          <w:szCs w:val="24"/>
        </w:rPr>
        <w:t>25</w:t>
      </w:r>
    </w:p>
    <w:p w14:paraId="5A946028" w14:textId="77777777" w:rsidR="00F7706A" w:rsidRDefault="00F7706A" w:rsidP="005A7C24">
      <w:pPr>
        <w:rPr>
          <w:rFonts w:ascii="Arial" w:hAnsi="Arial" w:cs="Arial"/>
          <w:szCs w:val="24"/>
        </w:rPr>
      </w:pPr>
    </w:p>
    <w:p w14:paraId="6752556F" w14:textId="77777777" w:rsidR="00F7706A" w:rsidRPr="00F7706A" w:rsidRDefault="00F7706A" w:rsidP="00F7706A">
      <w:pPr>
        <w:spacing w:line="259" w:lineRule="auto"/>
        <w:jc w:val="center"/>
        <w:rPr>
          <w:rFonts w:ascii="Calibri" w:hAnsi="Calibri" w:cs="Calibri"/>
          <w:b/>
          <w:bCs/>
          <w:color w:val="FF0000"/>
          <w:sz w:val="32"/>
          <w:szCs w:val="32"/>
        </w:rPr>
      </w:pPr>
      <w:r w:rsidRPr="00F7706A">
        <w:rPr>
          <w:rFonts w:cstheme="minorHAnsi"/>
          <w:b/>
          <w:bCs/>
          <w:color w:val="FF0000"/>
          <w:sz w:val="32"/>
          <w:szCs w:val="32"/>
          <w:highlight w:val="yellow"/>
        </w:rPr>
        <w:t xml:space="preserve">CWU T&amp;S WEEKLY BULLETIN </w:t>
      </w:r>
      <w:r w:rsidRPr="00F7706A">
        <w:rPr>
          <w:rFonts w:ascii="Calibri" w:hAnsi="Calibri" w:cs="Calibri"/>
          <w:b/>
          <w:bCs/>
          <w:color w:val="FF0000"/>
          <w:sz w:val="32"/>
          <w:szCs w:val="32"/>
          <w:highlight w:val="yellow"/>
        </w:rPr>
        <w:t>NO 2025/25 – 6 JULY 2025</w:t>
      </w:r>
    </w:p>
    <w:p w14:paraId="5CA46E78" w14:textId="77777777" w:rsidR="00F7706A" w:rsidRPr="00F7706A" w:rsidRDefault="00F7706A" w:rsidP="00F7706A">
      <w:pPr>
        <w:spacing w:line="259" w:lineRule="auto"/>
        <w:jc w:val="center"/>
        <w:rPr>
          <w:rFonts w:ascii="Calibri" w:hAnsi="Calibri" w:cs="Calibri"/>
          <w:b/>
          <w:bCs/>
          <w:color w:val="FF0000"/>
          <w:sz w:val="32"/>
          <w:szCs w:val="32"/>
          <w:highlight w:val="yellow"/>
        </w:rPr>
      </w:pPr>
      <w:hyperlink r:id="rId8" w:history="1">
        <w:r w:rsidRPr="00F7706A">
          <w:rPr>
            <w:rStyle w:val="Hyperlink"/>
            <w:rFonts w:ascii="Calibri" w:hAnsi="Calibri" w:cs="Calibri"/>
            <w:b/>
            <w:bCs/>
            <w:sz w:val="32"/>
            <w:szCs w:val="32"/>
            <w:highlight w:val="yellow"/>
          </w:rPr>
          <w:t>CWU T&amp;S Branch cwu.asn.au</w:t>
        </w:r>
      </w:hyperlink>
    </w:p>
    <w:p w14:paraId="2B2EE80F" w14:textId="77777777" w:rsidR="00F7706A" w:rsidRPr="00F7706A" w:rsidRDefault="00F7706A" w:rsidP="00F7706A">
      <w:pPr>
        <w:pStyle w:val="NormalWeb"/>
        <w:shd w:val="clear" w:color="auto" w:fill="FFFFFF"/>
        <w:spacing w:before="0" w:beforeAutospacing="0" w:after="0" w:afterAutospacing="0" w:line="259" w:lineRule="auto"/>
        <w:jc w:val="center"/>
        <w:rPr>
          <w:rFonts w:ascii="Calibri" w:hAnsi="Calibri" w:cs="Calibri"/>
          <w:b/>
          <w:bCs/>
          <w:color w:val="000000"/>
          <w:sz w:val="32"/>
          <w:szCs w:val="32"/>
        </w:rPr>
      </w:pPr>
      <w:r w:rsidRPr="00F7706A">
        <w:rPr>
          <w:rFonts w:ascii="Calibri" w:hAnsi="Calibri" w:cs="Calibri"/>
          <w:b/>
          <w:bCs/>
          <w:color w:val="000000"/>
          <w:sz w:val="32"/>
          <w:szCs w:val="32"/>
        </w:rPr>
        <w:t>You're never alone when you're a union member</w:t>
      </w:r>
    </w:p>
    <w:p w14:paraId="41894198" w14:textId="77777777" w:rsidR="00F7706A" w:rsidRPr="00F7706A" w:rsidRDefault="00F7706A" w:rsidP="00F7706A">
      <w:pPr>
        <w:spacing w:line="259" w:lineRule="auto"/>
        <w:jc w:val="center"/>
        <w:rPr>
          <w:rFonts w:ascii="Calibri" w:hAnsi="Calibri" w:cs="Calibri"/>
          <w:b/>
          <w:bCs/>
          <w:color w:val="0070C0"/>
          <w:sz w:val="32"/>
          <w:szCs w:val="32"/>
        </w:rPr>
      </w:pPr>
      <w:hyperlink r:id="rId9" w:history="1">
        <w:r w:rsidRPr="00F7706A">
          <w:rPr>
            <w:rStyle w:val="Hyperlink"/>
            <w:rFonts w:ascii="Calibri" w:hAnsi="Calibri" w:cs="Calibri"/>
            <w:b/>
            <w:bCs/>
            <w:color w:val="0070C0"/>
            <w:sz w:val="32"/>
            <w:szCs w:val="32"/>
          </w:rPr>
          <w:t>Click here to join CWU TS Branch</w:t>
        </w:r>
      </w:hyperlink>
    </w:p>
    <w:p w14:paraId="49A63C42" w14:textId="77777777" w:rsidR="00F7706A" w:rsidRPr="00F7706A" w:rsidRDefault="00F7706A" w:rsidP="00F7706A">
      <w:pPr>
        <w:spacing w:line="259" w:lineRule="auto"/>
        <w:jc w:val="center"/>
        <w:rPr>
          <w:rFonts w:cstheme="minorHAnsi"/>
          <w:b/>
          <w:bCs/>
          <w:color w:val="FF0000"/>
          <w:sz w:val="32"/>
          <w:szCs w:val="32"/>
          <w:highlight w:val="yellow"/>
        </w:rPr>
      </w:pPr>
    </w:p>
    <w:p w14:paraId="663E58B7" w14:textId="77777777" w:rsidR="00F7706A" w:rsidRDefault="00F7706A" w:rsidP="00F7706A">
      <w:pPr>
        <w:spacing w:line="259" w:lineRule="auto"/>
        <w:rPr>
          <w:rFonts w:ascii="Calibri" w:hAnsi="Calibri" w:cs="Calibri"/>
          <w:b/>
          <w:bCs/>
          <w:color w:val="EE0000"/>
        </w:rPr>
      </w:pPr>
    </w:p>
    <w:p w14:paraId="09629A3B" w14:textId="0A2FC8FD" w:rsidR="00F7706A" w:rsidRPr="003767BE" w:rsidRDefault="00F7706A" w:rsidP="00F7706A">
      <w:pPr>
        <w:spacing w:line="259" w:lineRule="auto"/>
        <w:rPr>
          <w:rFonts w:ascii="Calibri" w:hAnsi="Calibri" w:cs="Calibri"/>
          <w:b/>
          <w:bCs/>
          <w:color w:val="EE0000"/>
        </w:rPr>
      </w:pPr>
      <w:r w:rsidRPr="003767BE">
        <w:rPr>
          <w:rFonts w:ascii="Calibri" w:hAnsi="Calibri" w:cs="Calibri"/>
          <w:b/>
          <w:bCs/>
          <w:color w:val="EE0000"/>
        </w:rPr>
        <w:t>TZV EDIS RESTRUCTURE</w:t>
      </w:r>
    </w:p>
    <w:p w14:paraId="26C36C47" w14:textId="77777777" w:rsidR="00F7706A" w:rsidRPr="00FD42F5" w:rsidRDefault="00F7706A" w:rsidP="00F7706A">
      <w:pPr>
        <w:spacing w:line="259" w:lineRule="auto"/>
        <w:rPr>
          <w:rFonts w:ascii="Calibri" w:hAnsi="Calibri" w:cs="Calibri"/>
        </w:rPr>
      </w:pPr>
      <w:r>
        <w:rPr>
          <w:rFonts w:ascii="Calibri" w:hAnsi="Calibri" w:cs="Calibri"/>
        </w:rPr>
        <w:t>We received advice this week of a major restructure within EDIS. TZV stated:</w:t>
      </w:r>
      <w:r w:rsidRPr="00F519BE">
        <w:rPr>
          <w:rFonts w:ascii="Calibri" w:hAnsi="Calibri" w:cs="Calibri"/>
          <w:i/>
          <w:iCs/>
        </w:rPr>
        <w:t xml:space="preserve"> There is significant job loss but there are also </w:t>
      </w:r>
      <w:proofErr w:type="gramStart"/>
      <w:r w:rsidRPr="00F519BE">
        <w:rPr>
          <w:rFonts w:ascii="Calibri" w:hAnsi="Calibri" w:cs="Calibri"/>
          <w:i/>
          <w:iCs/>
        </w:rPr>
        <w:t>a number of</w:t>
      </w:r>
      <w:proofErr w:type="gramEnd"/>
      <w:r w:rsidRPr="00F519BE">
        <w:rPr>
          <w:rFonts w:ascii="Calibri" w:hAnsi="Calibri" w:cs="Calibri"/>
          <w:i/>
          <w:iCs/>
        </w:rPr>
        <w:t xml:space="preserve"> new positions and current vacancies in the proposed structure. </w:t>
      </w:r>
      <w:hyperlink r:id="rId10" w:history="1">
        <w:r>
          <w:rPr>
            <w:rStyle w:val="Hyperlink"/>
            <w:rFonts w:ascii="Calibri" w:hAnsi="Calibri" w:cs="Calibri"/>
            <w:szCs w:val="20"/>
          </w:rPr>
          <w:t xml:space="preserve"> </w:t>
        </w:r>
        <w:r>
          <w:rPr>
            <w:rStyle w:val="Hyperlink"/>
            <w:rFonts w:ascii="Calibri" w:hAnsi="Calibri" w:cs="Calibri"/>
            <w:b/>
            <w:bCs/>
            <w:szCs w:val="20"/>
          </w:rPr>
          <w:t xml:space="preserve">      </w:t>
        </w:r>
        <w:r w:rsidRPr="00011AD4">
          <w:rPr>
            <w:rStyle w:val="Hyperlink"/>
            <w:rFonts w:ascii="Calibri" w:hAnsi="Calibri" w:cs="Calibri"/>
            <w:b/>
            <w:bCs/>
            <w:szCs w:val="20"/>
          </w:rPr>
          <w:t>More</w:t>
        </w:r>
      </w:hyperlink>
    </w:p>
    <w:p w14:paraId="321DA507" w14:textId="77777777" w:rsidR="00F7706A" w:rsidRDefault="00F7706A" w:rsidP="00F7706A">
      <w:pPr>
        <w:spacing w:line="259" w:lineRule="auto"/>
        <w:rPr>
          <w:rFonts w:ascii="Calibri" w:hAnsi="Calibri" w:cs="Calibri"/>
        </w:rPr>
      </w:pPr>
    </w:p>
    <w:p w14:paraId="6CC6D665" w14:textId="77777777" w:rsidR="00F7706A" w:rsidRDefault="00F7706A" w:rsidP="00F7706A">
      <w:pPr>
        <w:spacing w:line="259" w:lineRule="auto"/>
        <w:rPr>
          <w:rFonts w:ascii="Calibri" w:hAnsi="Calibri" w:cs="Calibri"/>
          <w:b/>
          <w:bCs/>
          <w:color w:val="EE0000"/>
        </w:rPr>
      </w:pPr>
    </w:p>
    <w:p w14:paraId="3650D117" w14:textId="00DE5746" w:rsidR="00F7706A" w:rsidRPr="00F519BE" w:rsidRDefault="00F7706A" w:rsidP="00F7706A">
      <w:pPr>
        <w:spacing w:line="259" w:lineRule="auto"/>
        <w:rPr>
          <w:rFonts w:ascii="Calibri" w:hAnsi="Calibri" w:cs="Calibri"/>
          <w:b/>
          <w:bCs/>
          <w:color w:val="EE0000"/>
        </w:rPr>
      </w:pPr>
      <w:r w:rsidRPr="00F519BE">
        <w:rPr>
          <w:rFonts w:ascii="Calibri" w:hAnsi="Calibri" w:cs="Calibri"/>
          <w:b/>
          <w:bCs/>
          <w:color w:val="EE0000"/>
        </w:rPr>
        <w:t>TZV EDIS NEXT STEPS</w:t>
      </w:r>
    </w:p>
    <w:p w14:paraId="55722723" w14:textId="77777777" w:rsidR="00F7706A" w:rsidRPr="003767BE" w:rsidRDefault="00F7706A" w:rsidP="00F7706A">
      <w:pPr>
        <w:spacing w:line="259" w:lineRule="auto"/>
        <w:rPr>
          <w:rFonts w:ascii="Calibri" w:hAnsi="Calibri" w:cs="Calibri"/>
        </w:rPr>
      </w:pPr>
      <w:r>
        <w:rPr>
          <w:rFonts w:ascii="Calibri" w:hAnsi="Calibri" w:cs="Calibri"/>
        </w:rPr>
        <w:t xml:space="preserve">We received a power point presentation which much detail. We are meeting with TZV on Wednesday at 1pm to discuss the proposals. </w:t>
      </w:r>
      <w:proofErr w:type="gramStart"/>
      <w:r>
        <w:rPr>
          <w:rFonts w:ascii="Calibri" w:hAnsi="Calibri" w:cs="Calibri"/>
        </w:rPr>
        <w:t>It is clear that the</w:t>
      </w:r>
      <w:proofErr w:type="gramEnd"/>
      <w:r>
        <w:rPr>
          <w:rFonts w:ascii="Calibri" w:hAnsi="Calibri" w:cs="Calibri"/>
        </w:rPr>
        <w:t xml:space="preserve"> proposals span various work areas. We will need assistance addressing the matter. If any member wishes to participate or contribute to our response, please contact John Ellery on 0419 823 580 </w:t>
      </w:r>
      <w:hyperlink r:id="rId11" w:history="1">
        <w:r>
          <w:rPr>
            <w:rStyle w:val="Hyperlink"/>
            <w:rFonts w:ascii="Calibri" w:hAnsi="Calibri" w:cs="Calibri"/>
            <w:szCs w:val="20"/>
          </w:rPr>
          <w:t xml:space="preserve"> </w:t>
        </w:r>
        <w:r>
          <w:rPr>
            <w:rStyle w:val="Hyperlink"/>
            <w:rFonts w:ascii="Calibri" w:hAnsi="Calibri" w:cs="Calibri"/>
            <w:b/>
            <w:bCs/>
            <w:szCs w:val="20"/>
          </w:rPr>
          <w:t xml:space="preserve">      </w:t>
        </w:r>
        <w:r w:rsidRPr="00011AD4">
          <w:rPr>
            <w:rStyle w:val="Hyperlink"/>
            <w:rFonts w:ascii="Calibri" w:hAnsi="Calibri" w:cs="Calibri"/>
            <w:b/>
            <w:bCs/>
            <w:szCs w:val="20"/>
          </w:rPr>
          <w:t>More</w:t>
        </w:r>
      </w:hyperlink>
    </w:p>
    <w:p w14:paraId="17544402" w14:textId="77777777" w:rsidR="00F7706A" w:rsidRPr="003767BE" w:rsidRDefault="00F7706A" w:rsidP="00F7706A">
      <w:pPr>
        <w:spacing w:line="259" w:lineRule="auto"/>
        <w:rPr>
          <w:rFonts w:ascii="Calibri" w:hAnsi="Calibri" w:cs="Calibri"/>
        </w:rPr>
      </w:pPr>
    </w:p>
    <w:p w14:paraId="7B0EE242" w14:textId="77777777" w:rsidR="00F7706A" w:rsidRDefault="00F7706A" w:rsidP="00F7706A">
      <w:pPr>
        <w:spacing w:line="259" w:lineRule="auto"/>
        <w:rPr>
          <w:rFonts w:ascii="Calibri" w:hAnsi="Calibri" w:cs="Calibri"/>
          <w:b/>
          <w:bCs/>
          <w:color w:val="C00000"/>
          <w:szCs w:val="36"/>
        </w:rPr>
      </w:pPr>
    </w:p>
    <w:p w14:paraId="16C1AF7C" w14:textId="231BC2DA" w:rsidR="00F7706A" w:rsidRPr="00A6344F" w:rsidRDefault="00F7706A" w:rsidP="00F7706A">
      <w:pPr>
        <w:spacing w:line="259" w:lineRule="auto"/>
        <w:rPr>
          <w:rFonts w:ascii="Calibri" w:hAnsi="Calibri" w:cs="Calibri"/>
          <w:b/>
          <w:bCs/>
          <w:color w:val="C00000"/>
          <w:szCs w:val="36"/>
        </w:rPr>
      </w:pPr>
      <w:r w:rsidRPr="00A6344F">
        <w:rPr>
          <w:rFonts w:ascii="Calibri" w:hAnsi="Calibri" w:cs="Calibri"/>
          <w:b/>
          <w:bCs/>
          <w:color w:val="C00000"/>
          <w:szCs w:val="36"/>
        </w:rPr>
        <w:t>CFW JOB DESCRIPTION REVIEW</w:t>
      </w:r>
    </w:p>
    <w:p w14:paraId="1F75E8B6" w14:textId="77777777" w:rsidR="00F7706A" w:rsidRPr="003767BE" w:rsidRDefault="00F7706A" w:rsidP="00F7706A">
      <w:pPr>
        <w:spacing w:line="259" w:lineRule="auto"/>
        <w:rPr>
          <w:rFonts w:ascii="Calibri" w:hAnsi="Calibri" w:cs="Calibri"/>
          <w:szCs w:val="20"/>
        </w:rPr>
      </w:pPr>
      <w:r w:rsidRPr="003767BE">
        <w:rPr>
          <w:rFonts w:ascii="Calibri" w:hAnsi="Calibri" w:cs="Calibri"/>
          <w:szCs w:val="20"/>
        </w:rPr>
        <w:t>CWU remains engaged in the CFW Job Description review in line with its original, agreed purpose: to modernise outdated language and update references to evolving technologies – not to reclassify or devalue the work our members perform.</w:t>
      </w:r>
    </w:p>
    <w:p w14:paraId="096D5E98" w14:textId="77777777" w:rsidR="00F7706A" w:rsidRPr="003767BE" w:rsidRDefault="00F7706A" w:rsidP="00F7706A">
      <w:pPr>
        <w:spacing w:line="259" w:lineRule="auto"/>
        <w:rPr>
          <w:rFonts w:ascii="Calibri" w:hAnsi="Calibri" w:cs="Calibri"/>
          <w:szCs w:val="20"/>
        </w:rPr>
      </w:pPr>
      <w:r w:rsidRPr="003767BE">
        <w:rPr>
          <w:rFonts w:ascii="Calibri" w:hAnsi="Calibri" w:cs="Calibri"/>
          <w:szCs w:val="20"/>
        </w:rPr>
        <w:t>Unfortunately, Telstra’s current approach raises serious concerns. Rather than honouring the intent of the review, the company appears to be using the process to retrospectively legitimise existing under-classifications and downgrade highly skilled fibre-optic work.</w:t>
      </w:r>
      <w:r>
        <w:rPr>
          <w:rFonts w:ascii="Calibri" w:hAnsi="Calibri" w:cs="Calibri"/>
          <w:szCs w:val="20"/>
        </w:rPr>
        <w:t xml:space="preserve"> </w:t>
      </w:r>
      <w:hyperlink r:id="rId12" w:history="1">
        <w:r>
          <w:rPr>
            <w:rStyle w:val="Hyperlink"/>
            <w:rFonts w:ascii="Calibri" w:hAnsi="Calibri" w:cs="Calibri"/>
            <w:szCs w:val="20"/>
          </w:rPr>
          <w:t xml:space="preserve"> </w:t>
        </w:r>
        <w:r>
          <w:rPr>
            <w:rStyle w:val="Hyperlink"/>
            <w:rFonts w:ascii="Calibri" w:hAnsi="Calibri" w:cs="Calibri"/>
            <w:b/>
            <w:bCs/>
            <w:szCs w:val="20"/>
          </w:rPr>
          <w:t xml:space="preserve">      </w:t>
        </w:r>
        <w:r w:rsidRPr="00011AD4">
          <w:rPr>
            <w:rStyle w:val="Hyperlink"/>
            <w:rFonts w:ascii="Calibri" w:hAnsi="Calibri" w:cs="Calibri"/>
            <w:b/>
            <w:bCs/>
            <w:szCs w:val="20"/>
          </w:rPr>
          <w:t>More</w:t>
        </w:r>
      </w:hyperlink>
    </w:p>
    <w:p w14:paraId="43D2A3D7" w14:textId="77777777" w:rsidR="00F7706A" w:rsidRPr="003767BE" w:rsidRDefault="00F7706A" w:rsidP="00F7706A">
      <w:pPr>
        <w:spacing w:line="259" w:lineRule="auto"/>
        <w:rPr>
          <w:rFonts w:ascii="Calibri" w:hAnsi="Calibri" w:cs="Calibri"/>
        </w:rPr>
      </w:pPr>
    </w:p>
    <w:p w14:paraId="11FC9A14" w14:textId="77777777" w:rsidR="00F7706A" w:rsidRDefault="00F7706A" w:rsidP="00F7706A">
      <w:pPr>
        <w:spacing w:line="259" w:lineRule="auto"/>
        <w:rPr>
          <w:rFonts w:ascii="Calibri" w:hAnsi="Calibri" w:cs="Calibri"/>
          <w:b/>
          <w:bCs/>
          <w:color w:val="EE0000"/>
        </w:rPr>
      </w:pPr>
    </w:p>
    <w:p w14:paraId="02E458E9" w14:textId="050AFF9B" w:rsidR="00F7706A" w:rsidRPr="00222C6C" w:rsidRDefault="00F7706A" w:rsidP="00F7706A">
      <w:pPr>
        <w:spacing w:line="259" w:lineRule="auto"/>
        <w:rPr>
          <w:rFonts w:ascii="Calibri" w:hAnsi="Calibri" w:cs="Calibri"/>
          <w:b/>
          <w:bCs/>
          <w:color w:val="EE0000"/>
        </w:rPr>
      </w:pPr>
      <w:r w:rsidRPr="00222C6C">
        <w:rPr>
          <w:rFonts w:ascii="Calibri" w:hAnsi="Calibri" w:cs="Calibri"/>
          <w:b/>
          <w:bCs/>
          <w:color w:val="EE0000"/>
        </w:rPr>
        <w:t>OPTUS</w:t>
      </w:r>
      <w:r>
        <w:rPr>
          <w:rFonts w:ascii="Calibri" w:hAnsi="Calibri" w:cs="Calibri"/>
          <w:b/>
          <w:bCs/>
          <w:color w:val="EE0000"/>
        </w:rPr>
        <w:t xml:space="preserve"> EPA</w:t>
      </w:r>
      <w:r w:rsidRPr="00222C6C">
        <w:rPr>
          <w:rFonts w:ascii="Calibri" w:hAnsi="Calibri" w:cs="Calibri"/>
          <w:b/>
          <w:bCs/>
          <w:color w:val="EE0000"/>
        </w:rPr>
        <w:t xml:space="preserve"> MINIMUM RATES OF PAY</w:t>
      </w:r>
    </w:p>
    <w:p w14:paraId="0D33820B" w14:textId="77777777" w:rsidR="00F7706A" w:rsidRPr="003767BE" w:rsidRDefault="00F7706A" w:rsidP="00F7706A">
      <w:pPr>
        <w:spacing w:line="259" w:lineRule="auto"/>
        <w:rPr>
          <w:rFonts w:ascii="Calibri" w:hAnsi="Calibri" w:cs="Calibri"/>
        </w:rPr>
      </w:pPr>
      <w:r>
        <w:rPr>
          <w:rFonts w:ascii="Calibri" w:hAnsi="Calibri" w:cs="Calibri"/>
        </w:rPr>
        <w:t xml:space="preserve">Optus has provided the </w:t>
      </w:r>
      <w:r w:rsidRPr="003767BE">
        <w:rPr>
          <w:rFonts w:ascii="Calibri" w:hAnsi="Calibri" w:cs="Calibri"/>
        </w:rPr>
        <w:t>minimum rates of pay applicable under the Optus EPA 2025 effective 1 July 2025:</w:t>
      </w:r>
      <w:r>
        <w:rPr>
          <w:rFonts w:ascii="Calibri" w:hAnsi="Calibri" w:cs="Calibri"/>
        </w:rPr>
        <w:t xml:space="preserve"> </w:t>
      </w:r>
      <w:hyperlink r:id="rId13" w:history="1">
        <w:r>
          <w:rPr>
            <w:rStyle w:val="Hyperlink"/>
            <w:rFonts w:ascii="Calibri" w:hAnsi="Calibri" w:cs="Calibri"/>
            <w:szCs w:val="20"/>
          </w:rPr>
          <w:t xml:space="preserve"> </w:t>
        </w:r>
        <w:r>
          <w:rPr>
            <w:rStyle w:val="Hyperlink"/>
            <w:rFonts w:ascii="Calibri" w:hAnsi="Calibri" w:cs="Calibri"/>
            <w:b/>
            <w:bCs/>
            <w:szCs w:val="20"/>
          </w:rPr>
          <w:t xml:space="preserve">      </w:t>
        </w:r>
        <w:r w:rsidRPr="00011AD4">
          <w:rPr>
            <w:rStyle w:val="Hyperlink"/>
            <w:rFonts w:ascii="Calibri" w:hAnsi="Calibri" w:cs="Calibri"/>
            <w:b/>
            <w:bCs/>
            <w:szCs w:val="20"/>
          </w:rPr>
          <w:t>More</w:t>
        </w:r>
      </w:hyperlink>
    </w:p>
    <w:p w14:paraId="0C109799" w14:textId="77777777" w:rsidR="00F7706A" w:rsidRPr="003767BE" w:rsidRDefault="00F7706A" w:rsidP="00F7706A">
      <w:pPr>
        <w:spacing w:line="259" w:lineRule="auto"/>
        <w:rPr>
          <w:rFonts w:ascii="Calibri" w:hAnsi="Calibri" w:cs="Calibri"/>
        </w:rPr>
      </w:pPr>
    </w:p>
    <w:p w14:paraId="4918EA22" w14:textId="77777777" w:rsidR="00F7706A" w:rsidRDefault="00F7706A" w:rsidP="00F7706A">
      <w:pPr>
        <w:spacing w:line="259" w:lineRule="auto"/>
        <w:rPr>
          <w:rFonts w:ascii="Calibri" w:hAnsi="Calibri" w:cs="Calibri"/>
          <w:b/>
          <w:bCs/>
          <w:color w:val="EE0000"/>
        </w:rPr>
      </w:pPr>
    </w:p>
    <w:p w14:paraId="794FB38C" w14:textId="77777777" w:rsidR="00F7706A" w:rsidRDefault="00F7706A" w:rsidP="00F7706A">
      <w:pPr>
        <w:spacing w:line="259" w:lineRule="auto"/>
        <w:rPr>
          <w:rFonts w:ascii="Calibri" w:hAnsi="Calibri" w:cs="Calibri"/>
          <w:b/>
          <w:bCs/>
          <w:color w:val="EE0000"/>
        </w:rPr>
      </w:pPr>
    </w:p>
    <w:p w14:paraId="259A8F2E" w14:textId="77777777" w:rsidR="00F7706A" w:rsidRDefault="00F7706A" w:rsidP="00F7706A">
      <w:pPr>
        <w:spacing w:line="259" w:lineRule="auto"/>
        <w:rPr>
          <w:rFonts w:ascii="Calibri" w:hAnsi="Calibri" w:cs="Calibri"/>
          <w:b/>
          <w:bCs/>
          <w:color w:val="EE0000"/>
        </w:rPr>
      </w:pPr>
    </w:p>
    <w:p w14:paraId="73948A82" w14:textId="01A8037D" w:rsidR="00F7706A" w:rsidRPr="00222C6C" w:rsidRDefault="00F7706A" w:rsidP="00F7706A">
      <w:pPr>
        <w:spacing w:line="259" w:lineRule="auto"/>
        <w:rPr>
          <w:rFonts w:ascii="Calibri" w:hAnsi="Calibri" w:cs="Calibri"/>
          <w:b/>
          <w:bCs/>
          <w:color w:val="EE0000"/>
        </w:rPr>
      </w:pPr>
      <w:r w:rsidRPr="00222C6C">
        <w:rPr>
          <w:rFonts w:ascii="Calibri" w:hAnsi="Calibri" w:cs="Calibri"/>
          <w:b/>
          <w:bCs/>
          <w:color w:val="EE0000"/>
        </w:rPr>
        <w:lastRenderedPageBreak/>
        <w:t>OPTUS RETAIL AGREEMENT 2023 MINIMUM RATES OF PAY</w:t>
      </w:r>
    </w:p>
    <w:p w14:paraId="2492882E" w14:textId="77777777" w:rsidR="00F7706A" w:rsidRPr="003767BE" w:rsidRDefault="00F7706A" w:rsidP="00F7706A">
      <w:pPr>
        <w:spacing w:line="259" w:lineRule="auto"/>
        <w:rPr>
          <w:rFonts w:ascii="Calibri" w:hAnsi="Calibri" w:cs="Calibri"/>
        </w:rPr>
      </w:pPr>
      <w:r w:rsidRPr="003767BE">
        <w:rPr>
          <w:rFonts w:ascii="Calibri" w:hAnsi="Calibri" w:cs="Calibri"/>
        </w:rPr>
        <w:t>This document sets out the new minimum rates of pay and allowances under the Optus Retail</w:t>
      </w:r>
      <w:r>
        <w:rPr>
          <w:rFonts w:ascii="Calibri" w:hAnsi="Calibri" w:cs="Calibri"/>
        </w:rPr>
        <w:t xml:space="preserve"> </w:t>
      </w:r>
      <w:r w:rsidRPr="003767BE">
        <w:rPr>
          <w:rFonts w:ascii="Calibri" w:hAnsi="Calibri" w:cs="Calibri"/>
        </w:rPr>
        <w:t>Agreement for July 2025.</w:t>
      </w:r>
      <w:r>
        <w:rPr>
          <w:rFonts w:ascii="Calibri" w:hAnsi="Calibri" w:cs="Calibri"/>
        </w:rPr>
        <w:t xml:space="preserve"> </w:t>
      </w:r>
      <w:r w:rsidRPr="003767BE">
        <w:rPr>
          <w:rFonts w:ascii="Calibri" w:hAnsi="Calibri" w:cs="Calibri"/>
        </w:rPr>
        <w:t>In accordance with clause 13.1, the minimum base salary set out in clause 11.1 are</w:t>
      </w:r>
      <w:r>
        <w:rPr>
          <w:rFonts w:ascii="Calibri" w:hAnsi="Calibri" w:cs="Calibri"/>
        </w:rPr>
        <w:t xml:space="preserve"> </w:t>
      </w:r>
      <w:r w:rsidRPr="003767BE">
        <w:rPr>
          <w:rFonts w:ascii="Calibri" w:hAnsi="Calibri" w:cs="Calibri"/>
        </w:rPr>
        <w:t>to be increased by the March 2024/25 CPI rate (2.4%).</w:t>
      </w:r>
      <w:r>
        <w:rPr>
          <w:rFonts w:ascii="Calibri" w:hAnsi="Calibri" w:cs="Calibri"/>
        </w:rPr>
        <w:t xml:space="preserve"> </w:t>
      </w:r>
      <w:hyperlink r:id="rId14" w:history="1">
        <w:r>
          <w:rPr>
            <w:rStyle w:val="Hyperlink"/>
            <w:rFonts w:ascii="Calibri" w:hAnsi="Calibri" w:cs="Calibri"/>
            <w:szCs w:val="20"/>
          </w:rPr>
          <w:t xml:space="preserve"> </w:t>
        </w:r>
        <w:r>
          <w:rPr>
            <w:rStyle w:val="Hyperlink"/>
            <w:rFonts w:ascii="Calibri" w:hAnsi="Calibri" w:cs="Calibri"/>
            <w:b/>
            <w:bCs/>
            <w:szCs w:val="20"/>
          </w:rPr>
          <w:t xml:space="preserve">      </w:t>
        </w:r>
        <w:r w:rsidRPr="00011AD4">
          <w:rPr>
            <w:rStyle w:val="Hyperlink"/>
            <w:rFonts w:ascii="Calibri" w:hAnsi="Calibri" w:cs="Calibri"/>
            <w:b/>
            <w:bCs/>
            <w:szCs w:val="20"/>
          </w:rPr>
          <w:t>More</w:t>
        </w:r>
      </w:hyperlink>
    </w:p>
    <w:p w14:paraId="247F0F53" w14:textId="77777777" w:rsidR="00F7706A" w:rsidRDefault="00F7706A" w:rsidP="00F7706A">
      <w:pPr>
        <w:spacing w:line="259" w:lineRule="auto"/>
        <w:rPr>
          <w:rFonts w:ascii="Calibri" w:hAnsi="Calibri" w:cs="Calibri"/>
        </w:rPr>
      </w:pPr>
    </w:p>
    <w:p w14:paraId="2E78990D" w14:textId="77777777" w:rsidR="00F7706A" w:rsidRDefault="00F7706A" w:rsidP="00F7706A">
      <w:pPr>
        <w:spacing w:line="259" w:lineRule="auto"/>
        <w:rPr>
          <w:rFonts w:ascii="Calibri" w:hAnsi="Calibri" w:cs="Calibri"/>
          <w:b/>
          <w:bCs/>
          <w:color w:val="EE0000"/>
        </w:rPr>
      </w:pPr>
    </w:p>
    <w:p w14:paraId="397BA8FC" w14:textId="3573971A" w:rsidR="00F7706A" w:rsidRPr="003C0510" w:rsidRDefault="00F7706A" w:rsidP="00F7706A">
      <w:pPr>
        <w:spacing w:line="259" w:lineRule="auto"/>
        <w:rPr>
          <w:rFonts w:ascii="Calibri" w:hAnsi="Calibri" w:cs="Calibri"/>
          <w:b/>
          <w:bCs/>
          <w:color w:val="EE0000"/>
        </w:rPr>
      </w:pPr>
      <w:r w:rsidRPr="003C0510">
        <w:rPr>
          <w:rFonts w:ascii="Calibri" w:hAnsi="Calibri" w:cs="Calibri"/>
          <w:b/>
          <w:bCs/>
          <w:color w:val="EE0000"/>
        </w:rPr>
        <w:t>OPTUS TO SELL STAN SPORT</w:t>
      </w:r>
    </w:p>
    <w:p w14:paraId="580EB079" w14:textId="77777777" w:rsidR="00F7706A" w:rsidRPr="003C0510" w:rsidRDefault="00F7706A" w:rsidP="00F7706A">
      <w:pPr>
        <w:spacing w:line="259" w:lineRule="auto"/>
        <w:rPr>
          <w:rFonts w:ascii="Calibri" w:hAnsi="Calibri" w:cs="Calibri"/>
          <w:i/>
          <w:iCs/>
        </w:rPr>
      </w:pPr>
      <w:r w:rsidRPr="003C0510">
        <w:rPr>
          <w:rFonts w:ascii="Calibri" w:hAnsi="Calibri" w:cs="Calibri"/>
          <w:i/>
          <w:iCs/>
        </w:rPr>
        <w:t>Optus has accepted an offer from Stan Sport who will obtain the rights to the Premier League</w:t>
      </w:r>
      <w:r>
        <w:rPr>
          <w:rFonts w:ascii="Calibri" w:hAnsi="Calibri" w:cs="Calibri"/>
          <w:i/>
          <w:iCs/>
        </w:rPr>
        <w:t>.</w:t>
      </w:r>
      <w:r w:rsidRPr="003C0510">
        <w:rPr>
          <w:rFonts w:ascii="Calibri" w:hAnsi="Calibri" w:cs="Calibri"/>
          <w:i/>
          <w:iCs/>
        </w:rPr>
        <w:t xml:space="preserve"> Overall, there are 100 roles affected which span across New South Wales (96) and Victoria (4).</w:t>
      </w:r>
      <w:r>
        <w:rPr>
          <w:rFonts w:ascii="Calibri" w:hAnsi="Calibri" w:cs="Calibri"/>
          <w:i/>
          <w:iCs/>
        </w:rPr>
        <w:t xml:space="preserve"> </w:t>
      </w:r>
      <w:hyperlink r:id="rId15" w:history="1">
        <w:r>
          <w:rPr>
            <w:rStyle w:val="Hyperlink"/>
            <w:rFonts w:ascii="Calibri" w:hAnsi="Calibri" w:cs="Calibri"/>
            <w:szCs w:val="20"/>
          </w:rPr>
          <w:t xml:space="preserve"> </w:t>
        </w:r>
        <w:r>
          <w:rPr>
            <w:rStyle w:val="Hyperlink"/>
            <w:rFonts w:ascii="Calibri" w:hAnsi="Calibri" w:cs="Calibri"/>
            <w:b/>
            <w:bCs/>
            <w:szCs w:val="20"/>
          </w:rPr>
          <w:t xml:space="preserve">      </w:t>
        </w:r>
        <w:r w:rsidRPr="00011AD4">
          <w:rPr>
            <w:rStyle w:val="Hyperlink"/>
            <w:rFonts w:ascii="Calibri" w:hAnsi="Calibri" w:cs="Calibri"/>
            <w:b/>
            <w:bCs/>
            <w:szCs w:val="20"/>
          </w:rPr>
          <w:t>More</w:t>
        </w:r>
      </w:hyperlink>
    </w:p>
    <w:p w14:paraId="4695057F" w14:textId="77777777" w:rsidR="00F7706A" w:rsidRDefault="00F7706A" w:rsidP="00F7706A"/>
    <w:p w14:paraId="05887004" w14:textId="77777777" w:rsidR="00F7706A" w:rsidRDefault="00F7706A" w:rsidP="005A7C24">
      <w:pPr>
        <w:rPr>
          <w:rFonts w:ascii="Arial" w:hAnsi="Arial" w:cs="Arial"/>
          <w:szCs w:val="24"/>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6">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7"/>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B62"/>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06A"/>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25.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25.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25.htm" TargetMode="External"/><Relationship Id="rId5" Type="http://schemas.openxmlformats.org/officeDocument/2006/relationships/footnotes" Target="footnotes.xml"/><Relationship Id="rId15" Type="http://schemas.openxmlformats.org/officeDocument/2006/relationships/hyperlink" Target="https://cwuvic.org.au/database/nswnew/bull2525.htm" TargetMode="External"/><Relationship Id="rId10" Type="http://schemas.openxmlformats.org/officeDocument/2006/relationships/hyperlink" Target="https://cwuvic.org.au/database/nswnew/bull2525.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2025-07-08T00:49:00Z</dcterms:created>
  <dcterms:modified xsi:type="dcterms:W3CDTF">2025-07-08T00:49:00Z</dcterms:modified>
</cp:coreProperties>
</file>